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7FF13" w14:textId="77777777" w:rsidR="006A4EC4" w:rsidRDefault="006A4EC4" w:rsidP="006A4EC4">
      <w:pPr>
        <w:jc w:val="center"/>
        <w:rPr>
          <w:b/>
          <w:color w:val="525252" w:themeColor="accent3" w:themeShade="80"/>
          <w:sz w:val="52"/>
          <w:lang w:val="en-US"/>
        </w:rPr>
      </w:pPr>
    </w:p>
    <w:p w14:paraId="3C0F8D2F" w14:textId="059FF21D" w:rsidR="006A4EC4" w:rsidRDefault="006A4EC4" w:rsidP="006A4EC4">
      <w:pPr>
        <w:jc w:val="center"/>
        <w:rPr>
          <w:b/>
          <w:color w:val="525252" w:themeColor="accent3" w:themeShade="80"/>
          <w:sz w:val="36"/>
          <w:lang w:val="en-US"/>
        </w:rPr>
      </w:pPr>
      <w:r w:rsidRPr="00570539">
        <w:rPr>
          <w:b/>
          <w:color w:val="525252" w:themeColor="accent3" w:themeShade="80"/>
          <w:sz w:val="52"/>
          <w:lang w:val="en-US"/>
        </w:rPr>
        <w:t xml:space="preserve">Project Green Synergy </w:t>
      </w:r>
      <w:r w:rsidRPr="00F12B12">
        <w:rPr>
          <w:b/>
          <w:color w:val="525252" w:themeColor="accent3" w:themeShade="80"/>
          <w:sz w:val="36"/>
          <w:lang w:val="en-US"/>
        </w:rPr>
        <w:t>Business development for SMEs and</w:t>
      </w:r>
      <w:r>
        <w:rPr>
          <w:b/>
          <w:color w:val="525252" w:themeColor="accent3" w:themeShade="80"/>
          <w:sz w:val="36"/>
          <w:lang w:val="en-US"/>
        </w:rPr>
        <w:t xml:space="preserve"> </w:t>
      </w:r>
      <w:r w:rsidRPr="00F12B12">
        <w:rPr>
          <w:b/>
          <w:color w:val="525252" w:themeColor="accent3" w:themeShade="80"/>
          <w:sz w:val="36"/>
          <w:lang w:val="en-US"/>
        </w:rPr>
        <w:t>Entrepreneurs</w:t>
      </w:r>
    </w:p>
    <w:p w14:paraId="3BA8178C" w14:textId="77777777" w:rsidR="006A4EC4" w:rsidRDefault="006A4EC4" w:rsidP="006A4EC4">
      <w:pPr>
        <w:jc w:val="center"/>
        <w:rPr>
          <w:color w:val="44546A" w:themeColor="text2"/>
          <w:sz w:val="28"/>
          <w:lang w:val="en-US"/>
        </w:rPr>
      </w:pPr>
      <w:r w:rsidRPr="00570539">
        <w:rPr>
          <w:b/>
          <w:color w:val="44546A" w:themeColor="text2"/>
          <w:sz w:val="28"/>
          <w:lang w:val="en-US"/>
        </w:rPr>
        <w:t xml:space="preserve">2022-1-CY01-KA220-VET-000087187 </w:t>
      </w:r>
    </w:p>
    <w:p w14:paraId="3A9C16AC" w14:textId="77777777" w:rsidR="006A4EC4" w:rsidRPr="00A86E4B" w:rsidRDefault="006A4EC4" w:rsidP="006A4EC4">
      <w:pPr>
        <w:rPr>
          <w:b/>
          <w:color w:val="44546A" w:themeColor="text2"/>
          <w:sz w:val="16"/>
          <w:lang w:val="en-US"/>
        </w:rPr>
      </w:pPr>
    </w:p>
    <w:p w14:paraId="111EA2E6" w14:textId="460D41BE" w:rsidR="006A4EC4" w:rsidRPr="00E179C2" w:rsidRDefault="006A4EC4" w:rsidP="006A4EC4">
      <w:pPr>
        <w:jc w:val="center"/>
        <w:rPr>
          <w:b/>
          <w:color w:val="538135" w:themeColor="accent6" w:themeShade="BF"/>
          <w:sz w:val="52"/>
          <w:lang w:val="en-US"/>
        </w:rPr>
      </w:pPr>
      <w:r w:rsidRPr="00E179C2">
        <w:rPr>
          <w:b/>
          <w:color w:val="538135" w:themeColor="accent6" w:themeShade="BF"/>
          <w:sz w:val="52"/>
          <w:lang w:val="en-US"/>
        </w:rPr>
        <w:t>Mapping of C</w:t>
      </w:r>
      <w:r>
        <w:rPr>
          <w:b/>
          <w:color w:val="538135" w:themeColor="accent6" w:themeShade="BF"/>
          <w:sz w:val="52"/>
          <w:lang w:val="en-US"/>
        </w:rPr>
        <w:t>urrent Situation</w:t>
      </w:r>
      <w:r w:rsidRPr="00E179C2">
        <w:rPr>
          <w:b/>
          <w:color w:val="538135" w:themeColor="accent6" w:themeShade="BF"/>
          <w:sz w:val="52"/>
          <w:lang w:val="en-US"/>
        </w:rPr>
        <w:t xml:space="preserve"> </w:t>
      </w:r>
    </w:p>
    <w:p w14:paraId="5F5BFFEF" w14:textId="77777777" w:rsidR="006A4EC4" w:rsidRPr="00E179C2" w:rsidRDefault="006A4EC4" w:rsidP="006A4EC4">
      <w:pPr>
        <w:jc w:val="center"/>
        <w:rPr>
          <w:b/>
          <w:color w:val="538135" w:themeColor="accent6" w:themeShade="BF"/>
          <w:sz w:val="56"/>
          <w:lang w:val="en-US"/>
        </w:rPr>
      </w:pPr>
    </w:p>
    <w:p w14:paraId="67765E5F" w14:textId="77777777" w:rsidR="006A4EC4" w:rsidRPr="00E179C2" w:rsidRDefault="006A4EC4" w:rsidP="006A4EC4">
      <w:pPr>
        <w:jc w:val="center"/>
        <w:rPr>
          <w:b/>
          <w:color w:val="538135" w:themeColor="accent6" w:themeShade="BF"/>
          <w:sz w:val="56"/>
          <w:lang w:val="en-US"/>
        </w:rPr>
      </w:pPr>
      <w:r w:rsidRPr="00E179C2">
        <w:rPr>
          <w:b/>
          <w:color w:val="538135" w:themeColor="accent6" w:themeShade="BF"/>
          <w:sz w:val="56"/>
          <w:lang w:val="en-US"/>
        </w:rPr>
        <w:t>Country Snapshot Template</w:t>
      </w:r>
    </w:p>
    <w:p w14:paraId="430F4797" w14:textId="77777777" w:rsidR="006A4EC4" w:rsidRDefault="006A4EC4" w:rsidP="006A4EC4">
      <w:pPr>
        <w:pStyle w:val="a5"/>
        <w:rPr>
          <w:lang w:val="en-US"/>
        </w:rPr>
      </w:pPr>
    </w:p>
    <w:sdt>
      <w:sdtPr>
        <w:rPr>
          <w:rFonts w:asciiTheme="minorHAnsi" w:eastAsiaTheme="minorHAnsi" w:hAnsiTheme="minorHAnsi" w:cstheme="minorBidi"/>
          <w:color w:val="auto"/>
          <w:sz w:val="22"/>
          <w:szCs w:val="22"/>
          <w:lang w:val="it-IT"/>
        </w:rPr>
        <w:id w:val="-1125002399"/>
        <w:docPartObj>
          <w:docPartGallery w:val="Table of Contents"/>
          <w:docPartUnique/>
        </w:docPartObj>
      </w:sdtPr>
      <w:sdtEndPr>
        <w:rPr>
          <w:b/>
          <w:bCs/>
          <w:noProof/>
          <w:color w:val="538135" w:themeColor="accent6" w:themeShade="BF"/>
        </w:rPr>
      </w:sdtEndPr>
      <w:sdtContent>
        <w:p w14:paraId="3C3A46F8" w14:textId="77777777" w:rsidR="006A4EC4" w:rsidRPr="00D13BE8" w:rsidRDefault="006A4EC4" w:rsidP="006A4EC4">
          <w:pPr>
            <w:pStyle w:val="a6"/>
            <w:rPr>
              <w:rFonts w:asciiTheme="minorHAnsi" w:hAnsiTheme="minorHAnsi" w:cstheme="minorHAnsi"/>
              <w:b/>
              <w:color w:val="538135" w:themeColor="accent6" w:themeShade="BF"/>
              <w:sz w:val="28"/>
            </w:rPr>
          </w:pPr>
          <w:r w:rsidRPr="00D13BE8">
            <w:rPr>
              <w:rFonts w:asciiTheme="minorHAnsi" w:hAnsiTheme="minorHAnsi" w:cstheme="minorHAnsi"/>
              <w:b/>
              <w:color w:val="538135" w:themeColor="accent6" w:themeShade="BF"/>
              <w:sz w:val="28"/>
            </w:rPr>
            <w:t>Table of Contents</w:t>
          </w:r>
        </w:p>
        <w:p w14:paraId="5FC684E1" w14:textId="2A0CF104" w:rsidR="006A4EC4" w:rsidRPr="00AB58E9" w:rsidRDefault="006A4EC4">
          <w:pPr>
            <w:pStyle w:val="10"/>
            <w:tabs>
              <w:tab w:val="right" w:leader="dot" w:pos="9350"/>
            </w:tabs>
            <w:rPr>
              <w:rFonts w:eastAsiaTheme="minorEastAsia"/>
              <w:noProof/>
              <w:color w:val="538135" w:themeColor="accent6" w:themeShade="BF"/>
              <w:lang w:val="en-US"/>
            </w:rPr>
          </w:pPr>
          <w:r w:rsidRPr="00AB58E9">
            <w:rPr>
              <w:b/>
              <w:bCs/>
              <w:noProof/>
              <w:color w:val="538135" w:themeColor="accent6" w:themeShade="BF"/>
            </w:rPr>
            <w:fldChar w:fldCharType="begin"/>
          </w:r>
          <w:r w:rsidRPr="00AB58E9">
            <w:rPr>
              <w:b/>
              <w:bCs/>
              <w:noProof/>
              <w:color w:val="538135" w:themeColor="accent6" w:themeShade="BF"/>
            </w:rPr>
            <w:instrText xml:space="preserve"> TOC \o "1-3" \h \z \u </w:instrText>
          </w:r>
          <w:r w:rsidRPr="00AB58E9">
            <w:rPr>
              <w:b/>
              <w:bCs/>
              <w:noProof/>
              <w:color w:val="538135" w:themeColor="accent6" w:themeShade="BF"/>
            </w:rPr>
            <w:fldChar w:fldCharType="separate"/>
          </w:r>
          <w:hyperlink w:anchor="_Toc118913357" w:history="1">
            <w:r w:rsidRPr="00AB58E9">
              <w:rPr>
                <w:rStyle w:val="-"/>
                <w:rFonts w:ascii="Calibri" w:eastAsia="Times New Roman" w:hAnsi="Calibri" w:cs="Calibri"/>
                <w:b/>
                <w:noProof/>
                <w:color w:val="538135" w:themeColor="accent6" w:themeShade="BF"/>
              </w:rPr>
              <w:t>Introduction</w:t>
            </w:r>
            <w:r w:rsidRPr="00AB58E9">
              <w:rPr>
                <w:noProof/>
                <w:webHidden/>
                <w:color w:val="538135" w:themeColor="accent6" w:themeShade="BF"/>
              </w:rPr>
              <w:tab/>
            </w:r>
            <w:r w:rsidRPr="00AB58E9">
              <w:rPr>
                <w:noProof/>
                <w:webHidden/>
                <w:color w:val="538135" w:themeColor="accent6" w:themeShade="BF"/>
              </w:rPr>
              <w:fldChar w:fldCharType="begin"/>
            </w:r>
            <w:r w:rsidRPr="00AB58E9">
              <w:rPr>
                <w:noProof/>
                <w:webHidden/>
                <w:color w:val="538135" w:themeColor="accent6" w:themeShade="BF"/>
              </w:rPr>
              <w:instrText xml:space="preserve"> PAGEREF _Toc118913357 \h </w:instrText>
            </w:r>
            <w:r w:rsidRPr="00AB58E9">
              <w:rPr>
                <w:noProof/>
                <w:webHidden/>
                <w:color w:val="538135" w:themeColor="accent6" w:themeShade="BF"/>
              </w:rPr>
            </w:r>
            <w:r w:rsidRPr="00AB58E9">
              <w:rPr>
                <w:noProof/>
                <w:webHidden/>
                <w:color w:val="538135" w:themeColor="accent6" w:themeShade="BF"/>
              </w:rPr>
              <w:fldChar w:fldCharType="separate"/>
            </w:r>
            <w:r w:rsidRPr="00AB58E9">
              <w:rPr>
                <w:noProof/>
                <w:webHidden/>
                <w:color w:val="538135" w:themeColor="accent6" w:themeShade="BF"/>
              </w:rPr>
              <w:t>2</w:t>
            </w:r>
            <w:r w:rsidRPr="00AB58E9">
              <w:rPr>
                <w:noProof/>
                <w:webHidden/>
                <w:color w:val="538135" w:themeColor="accent6" w:themeShade="BF"/>
              </w:rPr>
              <w:fldChar w:fldCharType="end"/>
            </w:r>
          </w:hyperlink>
        </w:p>
        <w:p w14:paraId="5DE49A8E" w14:textId="4632EA42" w:rsidR="006A4EC4" w:rsidRPr="00AB58E9" w:rsidRDefault="00000000">
          <w:pPr>
            <w:pStyle w:val="10"/>
            <w:tabs>
              <w:tab w:val="right" w:leader="dot" w:pos="9350"/>
            </w:tabs>
            <w:rPr>
              <w:rFonts w:eastAsiaTheme="minorEastAsia"/>
              <w:noProof/>
              <w:color w:val="538135" w:themeColor="accent6" w:themeShade="BF"/>
              <w:lang w:val="en-US"/>
            </w:rPr>
          </w:pPr>
          <w:hyperlink w:anchor="_Toc118913358" w:history="1">
            <w:r w:rsidR="006A4EC4" w:rsidRPr="00AB58E9">
              <w:rPr>
                <w:rStyle w:val="-"/>
                <w:rFonts w:ascii="Calibri" w:eastAsia="Times New Roman" w:hAnsi="Calibri" w:cs="Calibri"/>
                <w:b/>
                <w:noProof/>
                <w:color w:val="538135" w:themeColor="accent6" w:themeShade="BF"/>
              </w:rPr>
              <w:t>Current Situation of Smes and Entrepreneurs/ Sustainable Development  in [COUNTRY]</w:t>
            </w:r>
            <w:r w:rsidR="006A4EC4" w:rsidRPr="00AB58E9">
              <w:rPr>
                <w:noProof/>
                <w:webHidden/>
                <w:color w:val="538135" w:themeColor="accent6" w:themeShade="BF"/>
              </w:rPr>
              <w:tab/>
            </w:r>
            <w:r w:rsidR="006A4EC4" w:rsidRPr="00AB58E9">
              <w:rPr>
                <w:noProof/>
                <w:webHidden/>
                <w:color w:val="538135" w:themeColor="accent6" w:themeShade="BF"/>
              </w:rPr>
              <w:fldChar w:fldCharType="begin"/>
            </w:r>
            <w:r w:rsidR="006A4EC4" w:rsidRPr="00AB58E9">
              <w:rPr>
                <w:noProof/>
                <w:webHidden/>
                <w:color w:val="538135" w:themeColor="accent6" w:themeShade="BF"/>
              </w:rPr>
              <w:instrText xml:space="preserve"> PAGEREF _Toc118913358 \h </w:instrText>
            </w:r>
            <w:r w:rsidR="006A4EC4" w:rsidRPr="00AB58E9">
              <w:rPr>
                <w:noProof/>
                <w:webHidden/>
                <w:color w:val="538135" w:themeColor="accent6" w:themeShade="BF"/>
              </w:rPr>
            </w:r>
            <w:r w:rsidR="006A4EC4" w:rsidRPr="00AB58E9">
              <w:rPr>
                <w:noProof/>
                <w:webHidden/>
                <w:color w:val="538135" w:themeColor="accent6" w:themeShade="BF"/>
              </w:rPr>
              <w:fldChar w:fldCharType="separate"/>
            </w:r>
            <w:r w:rsidR="006A4EC4" w:rsidRPr="00AB58E9">
              <w:rPr>
                <w:noProof/>
                <w:webHidden/>
                <w:color w:val="538135" w:themeColor="accent6" w:themeShade="BF"/>
              </w:rPr>
              <w:t>3</w:t>
            </w:r>
            <w:r w:rsidR="006A4EC4" w:rsidRPr="00AB58E9">
              <w:rPr>
                <w:noProof/>
                <w:webHidden/>
                <w:color w:val="538135" w:themeColor="accent6" w:themeShade="BF"/>
              </w:rPr>
              <w:fldChar w:fldCharType="end"/>
            </w:r>
          </w:hyperlink>
        </w:p>
        <w:p w14:paraId="260A2C3A" w14:textId="78BFF16E" w:rsidR="006A4EC4" w:rsidRPr="00AB58E9" w:rsidRDefault="00000000">
          <w:pPr>
            <w:pStyle w:val="10"/>
            <w:tabs>
              <w:tab w:val="right" w:leader="dot" w:pos="9350"/>
            </w:tabs>
            <w:rPr>
              <w:rFonts w:eastAsiaTheme="minorEastAsia"/>
              <w:noProof/>
              <w:color w:val="538135" w:themeColor="accent6" w:themeShade="BF"/>
              <w:lang w:val="en-US"/>
            </w:rPr>
          </w:pPr>
          <w:hyperlink w:anchor="_Toc118913359" w:history="1">
            <w:r w:rsidR="006A4EC4" w:rsidRPr="00AB58E9">
              <w:rPr>
                <w:rStyle w:val="-"/>
                <w:rFonts w:ascii="Calibri" w:eastAsia="Times New Roman" w:hAnsi="Calibri" w:cs="Calibri"/>
                <w:b/>
                <w:noProof/>
                <w:color w:val="538135" w:themeColor="accent6" w:themeShade="BF"/>
              </w:rPr>
              <w:t>Smes and Entrepreneurship Ecosystem in [COUNTRY]</w:t>
            </w:r>
            <w:r w:rsidR="006A4EC4" w:rsidRPr="00AB58E9">
              <w:rPr>
                <w:noProof/>
                <w:webHidden/>
                <w:color w:val="538135" w:themeColor="accent6" w:themeShade="BF"/>
              </w:rPr>
              <w:tab/>
            </w:r>
            <w:r w:rsidR="006A4EC4" w:rsidRPr="00AB58E9">
              <w:rPr>
                <w:noProof/>
                <w:webHidden/>
                <w:color w:val="538135" w:themeColor="accent6" w:themeShade="BF"/>
              </w:rPr>
              <w:fldChar w:fldCharType="begin"/>
            </w:r>
            <w:r w:rsidR="006A4EC4" w:rsidRPr="00AB58E9">
              <w:rPr>
                <w:noProof/>
                <w:webHidden/>
                <w:color w:val="538135" w:themeColor="accent6" w:themeShade="BF"/>
              </w:rPr>
              <w:instrText xml:space="preserve"> PAGEREF _Toc118913359 \h </w:instrText>
            </w:r>
            <w:r w:rsidR="006A4EC4" w:rsidRPr="00AB58E9">
              <w:rPr>
                <w:noProof/>
                <w:webHidden/>
                <w:color w:val="538135" w:themeColor="accent6" w:themeShade="BF"/>
              </w:rPr>
            </w:r>
            <w:r w:rsidR="006A4EC4" w:rsidRPr="00AB58E9">
              <w:rPr>
                <w:noProof/>
                <w:webHidden/>
                <w:color w:val="538135" w:themeColor="accent6" w:themeShade="BF"/>
              </w:rPr>
              <w:fldChar w:fldCharType="separate"/>
            </w:r>
            <w:r w:rsidR="006A4EC4" w:rsidRPr="00AB58E9">
              <w:rPr>
                <w:noProof/>
                <w:webHidden/>
                <w:color w:val="538135" w:themeColor="accent6" w:themeShade="BF"/>
              </w:rPr>
              <w:t>4</w:t>
            </w:r>
            <w:r w:rsidR="006A4EC4" w:rsidRPr="00AB58E9">
              <w:rPr>
                <w:noProof/>
                <w:webHidden/>
                <w:color w:val="538135" w:themeColor="accent6" w:themeShade="BF"/>
              </w:rPr>
              <w:fldChar w:fldCharType="end"/>
            </w:r>
          </w:hyperlink>
        </w:p>
        <w:p w14:paraId="6F4F8376" w14:textId="3BAA6202" w:rsidR="006A4EC4" w:rsidRPr="00AB58E9" w:rsidRDefault="00000000">
          <w:pPr>
            <w:pStyle w:val="10"/>
            <w:tabs>
              <w:tab w:val="right" w:leader="dot" w:pos="9350"/>
            </w:tabs>
            <w:rPr>
              <w:rFonts w:eastAsiaTheme="minorEastAsia"/>
              <w:noProof/>
              <w:color w:val="538135" w:themeColor="accent6" w:themeShade="BF"/>
              <w:lang w:val="en-US"/>
            </w:rPr>
          </w:pPr>
          <w:hyperlink w:anchor="_Toc118913360" w:history="1">
            <w:r w:rsidR="006A4EC4" w:rsidRPr="00AB58E9">
              <w:rPr>
                <w:rStyle w:val="-"/>
                <w:rFonts w:ascii="Calibri" w:eastAsia="Times New Roman" w:hAnsi="Calibri" w:cs="Calibri"/>
                <w:b/>
                <w:noProof/>
                <w:color w:val="538135" w:themeColor="accent6" w:themeShade="BF"/>
              </w:rPr>
              <w:t>Conclusions</w:t>
            </w:r>
            <w:r w:rsidR="006A4EC4" w:rsidRPr="00AB58E9">
              <w:rPr>
                <w:noProof/>
                <w:webHidden/>
                <w:color w:val="538135" w:themeColor="accent6" w:themeShade="BF"/>
              </w:rPr>
              <w:tab/>
            </w:r>
            <w:r w:rsidR="006A4EC4" w:rsidRPr="00AB58E9">
              <w:rPr>
                <w:noProof/>
                <w:webHidden/>
                <w:color w:val="538135" w:themeColor="accent6" w:themeShade="BF"/>
              </w:rPr>
              <w:fldChar w:fldCharType="begin"/>
            </w:r>
            <w:r w:rsidR="006A4EC4" w:rsidRPr="00AB58E9">
              <w:rPr>
                <w:noProof/>
                <w:webHidden/>
                <w:color w:val="538135" w:themeColor="accent6" w:themeShade="BF"/>
              </w:rPr>
              <w:instrText xml:space="preserve"> PAGEREF _Toc118913360 \h </w:instrText>
            </w:r>
            <w:r w:rsidR="006A4EC4" w:rsidRPr="00AB58E9">
              <w:rPr>
                <w:noProof/>
                <w:webHidden/>
                <w:color w:val="538135" w:themeColor="accent6" w:themeShade="BF"/>
              </w:rPr>
            </w:r>
            <w:r w:rsidR="006A4EC4" w:rsidRPr="00AB58E9">
              <w:rPr>
                <w:noProof/>
                <w:webHidden/>
                <w:color w:val="538135" w:themeColor="accent6" w:themeShade="BF"/>
              </w:rPr>
              <w:fldChar w:fldCharType="separate"/>
            </w:r>
            <w:r w:rsidR="006A4EC4" w:rsidRPr="00AB58E9">
              <w:rPr>
                <w:noProof/>
                <w:webHidden/>
                <w:color w:val="538135" w:themeColor="accent6" w:themeShade="BF"/>
              </w:rPr>
              <w:t>5</w:t>
            </w:r>
            <w:r w:rsidR="006A4EC4" w:rsidRPr="00AB58E9">
              <w:rPr>
                <w:noProof/>
                <w:webHidden/>
                <w:color w:val="538135" w:themeColor="accent6" w:themeShade="BF"/>
              </w:rPr>
              <w:fldChar w:fldCharType="end"/>
            </w:r>
          </w:hyperlink>
        </w:p>
        <w:p w14:paraId="58733044" w14:textId="4D5FBC9C" w:rsidR="006A4EC4" w:rsidRPr="00AB58E9" w:rsidRDefault="00000000">
          <w:pPr>
            <w:pStyle w:val="10"/>
            <w:tabs>
              <w:tab w:val="right" w:leader="dot" w:pos="9350"/>
            </w:tabs>
            <w:rPr>
              <w:rFonts w:eastAsiaTheme="minorEastAsia"/>
              <w:noProof/>
              <w:color w:val="538135" w:themeColor="accent6" w:themeShade="BF"/>
              <w:lang w:val="en-US"/>
            </w:rPr>
          </w:pPr>
          <w:hyperlink w:anchor="_Toc118913361" w:history="1">
            <w:r w:rsidR="006A4EC4" w:rsidRPr="00AB58E9">
              <w:rPr>
                <w:rStyle w:val="-"/>
                <w:rFonts w:ascii="Calibri" w:eastAsia="Times New Roman" w:hAnsi="Calibri" w:cs="Calibri"/>
                <w:b/>
                <w:noProof/>
                <w:color w:val="538135" w:themeColor="accent6" w:themeShade="BF"/>
              </w:rPr>
              <w:t>Bibliography</w:t>
            </w:r>
            <w:r w:rsidR="006A4EC4" w:rsidRPr="00AB58E9">
              <w:rPr>
                <w:noProof/>
                <w:webHidden/>
                <w:color w:val="538135" w:themeColor="accent6" w:themeShade="BF"/>
              </w:rPr>
              <w:tab/>
            </w:r>
            <w:r w:rsidR="006A4EC4" w:rsidRPr="00AB58E9">
              <w:rPr>
                <w:noProof/>
                <w:webHidden/>
                <w:color w:val="538135" w:themeColor="accent6" w:themeShade="BF"/>
              </w:rPr>
              <w:fldChar w:fldCharType="begin"/>
            </w:r>
            <w:r w:rsidR="006A4EC4" w:rsidRPr="00AB58E9">
              <w:rPr>
                <w:noProof/>
                <w:webHidden/>
                <w:color w:val="538135" w:themeColor="accent6" w:themeShade="BF"/>
              </w:rPr>
              <w:instrText xml:space="preserve"> PAGEREF _Toc118913361 \h </w:instrText>
            </w:r>
            <w:r w:rsidR="006A4EC4" w:rsidRPr="00AB58E9">
              <w:rPr>
                <w:noProof/>
                <w:webHidden/>
                <w:color w:val="538135" w:themeColor="accent6" w:themeShade="BF"/>
              </w:rPr>
            </w:r>
            <w:r w:rsidR="006A4EC4" w:rsidRPr="00AB58E9">
              <w:rPr>
                <w:noProof/>
                <w:webHidden/>
                <w:color w:val="538135" w:themeColor="accent6" w:themeShade="BF"/>
              </w:rPr>
              <w:fldChar w:fldCharType="separate"/>
            </w:r>
            <w:r w:rsidR="006A4EC4" w:rsidRPr="00AB58E9">
              <w:rPr>
                <w:noProof/>
                <w:webHidden/>
                <w:color w:val="538135" w:themeColor="accent6" w:themeShade="BF"/>
              </w:rPr>
              <w:t>6</w:t>
            </w:r>
            <w:r w:rsidR="006A4EC4" w:rsidRPr="00AB58E9">
              <w:rPr>
                <w:noProof/>
                <w:webHidden/>
                <w:color w:val="538135" w:themeColor="accent6" w:themeShade="BF"/>
              </w:rPr>
              <w:fldChar w:fldCharType="end"/>
            </w:r>
          </w:hyperlink>
        </w:p>
        <w:p w14:paraId="0E45A326" w14:textId="560F77D8" w:rsidR="006A4EC4" w:rsidRPr="00AB58E9" w:rsidRDefault="006A4EC4" w:rsidP="006A4EC4">
          <w:pPr>
            <w:rPr>
              <w:color w:val="538135" w:themeColor="accent6" w:themeShade="BF"/>
            </w:rPr>
          </w:pPr>
          <w:r w:rsidRPr="00AB58E9">
            <w:rPr>
              <w:b/>
              <w:bCs/>
              <w:noProof/>
              <w:color w:val="538135" w:themeColor="accent6" w:themeShade="BF"/>
            </w:rPr>
            <w:fldChar w:fldCharType="end"/>
          </w:r>
        </w:p>
      </w:sdtContent>
    </w:sdt>
    <w:p w14:paraId="20909EE8" w14:textId="77777777" w:rsidR="006A4EC4" w:rsidRDefault="006A4EC4" w:rsidP="006A4EC4">
      <w:pPr>
        <w:pStyle w:val="a5"/>
        <w:rPr>
          <w:lang w:val="en-US"/>
        </w:rPr>
      </w:pPr>
    </w:p>
    <w:p w14:paraId="672CE34D" w14:textId="77777777" w:rsidR="006A4EC4" w:rsidRDefault="006A4EC4" w:rsidP="006A4EC4">
      <w:pPr>
        <w:pStyle w:val="a5"/>
        <w:rPr>
          <w:lang w:val="en-US"/>
        </w:rPr>
      </w:pPr>
    </w:p>
    <w:p w14:paraId="4018E394" w14:textId="77777777" w:rsidR="006A4EC4" w:rsidRDefault="006A4EC4" w:rsidP="006A4EC4">
      <w:pPr>
        <w:pStyle w:val="a5"/>
        <w:rPr>
          <w:lang w:val="en-US"/>
        </w:rPr>
      </w:pPr>
    </w:p>
    <w:p w14:paraId="15DF801B" w14:textId="77777777" w:rsidR="006A4EC4" w:rsidRDefault="006A4EC4" w:rsidP="006A4EC4">
      <w:pPr>
        <w:pStyle w:val="a5"/>
        <w:rPr>
          <w:lang w:val="en-US"/>
        </w:rPr>
      </w:pPr>
    </w:p>
    <w:p w14:paraId="3A424F65" w14:textId="77777777" w:rsidR="006A4EC4" w:rsidRDefault="006A4EC4" w:rsidP="006A4EC4">
      <w:pPr>
        <w:pStyle w:val="Default"/>
        <w:jc w:val="center"/>
        <w:rPr>
          <w:rFonts w:asciiTheme="minorHAnsi" w:hAnsiTheme="minorHAnsi"/>
          <w:sz w:val="16"/>
          <w:szCs w:val="12"/>
        </w:rPr>
      </w:pPr>
    </w:p>
    <w:p w14:paraId="1CECA964" w14:textId="77777777" w:rsidR="006A4EC4" w:rsidRPr="002552A0" w:rsidRDefault="006A4EC4" w:rsidP="006A4EC4">
      <w:pPr>
        <w:pStyle w:val="Default"/>
        <w:jc w:val="center"/>
        <w:rPr>
          <w:rFonts w:asciiTheme="minorHAnsi" w:hAnsiTheme="minorHAnsi"/>
          <w:sz w:val="16"/>
          <w:szCs w:val="12"/>
        </w:rPr>
      </w:pPr>
      <w:r w:rsidRPr="002552A0">
        <w:rPr>
          <w:rFonts w:asciiTheme="minorHAnsi" w:hAnsiTheme="minorHAnsi"/>
          <w:sz w:val="16"/>
          <w:szCs w:val="12"/>
        </w:rPr>
        <w:t>This project has been funded with support from the European Commission.</w:t>
      </w:r>
    </w:p>
    <w:p w14:paraId="3E2B10AF" w14:textId="77777777" w:rsidR="006A4EC4" w:rsidRPr="002552A0" w:rsidRDefault="006A4EC4" w:rsidP="006A4EC4">
      <w:pPr>
        <w:pStyle w:val="a4"/>
        <w:jc w:val="center"/>
        <w:rPr>
          <w:sz w:val="16"/>
          <w:szCs w:val="12"/>
        </w:rPr>
      </w:pPr>
      <w:r w:rsidRPr="002552A0">
        <w:rPr>
          <w:sz w:val="16"/>
          <w:szCs w:val="12"/>
        </w:rPr>
        <w:t xml:space="preserve">This publication reflects the views only of the author, and the Commission cannot be held responsible </w:t>
      </w:r>
    </w:p>
    <w:p w14:paraId="152BDBA0" w14:textId="77777777" w:rsidR="006A4EC4" w:rsidRPr="002552A0" w:rsidRDefault="006A4EC4" w:rsidP="006A4EC4">
      <w:pPr>
        <w:pStyle w:val="a4"/>
        <w:jc w:val="center"/>
        <w:rPr>
          <w:sz w:val="16"/>
          <w:szCs w:val="12"/>
        </w:rPr>
      </w:pPr>
      <w:r w:rsidRPr="002552A0">
        <w:rPr>
          <w:sz w:val="16"/>
          <w:szCs w:val="12"/>
        </w:rPr>
        <w:t>for any use which may be made of the information contained therein.</w:t>
      </w:r>
    </w:p>
    <w:p w14:paraId="4E9538A1" w14:textId="77777777" w:rsidR="006A4EC4" w:rsidRPr="00A054DA" w:rsidRDefault="006A4EC4" w:rsidP="006A4EC4">
      <w:pPr>
        <w:pStyle w:val="a5"/>
        <w:rPr>
          <w:lang w:val="en-US"/>
        </w:rPr>
      </w:pPr>
    </w:p>
    <w:p w14:paraId="4DAA5879" w14:textId="77777777" w:rsidR="006A4EC4" w:rsidRDefault="006A4EC4" w:rsidP="006A4EC4">
      <w:r>
        <w:br w:type="page"/>
      </w:r>
    </w:p>
    <w:p w14:paraId="5C590DA2" w14:textId="77777777" w:rsidR="006A4EC4" w:rsidRPr="006A4EC4" w:rsidRDefault="006A4EC4" w:rsidP="006A4EC4">
      <w:pPr>
        <w:keepNext/>
        <w:keepLines/>
        <w:spacing w:before="240" w:after="0"/>
        <w:outlineLvl w:val="0"/>
        <w:rPr>
          <w:rFonts w:ascii="Calibri" w:eastAsia="Times New Roman" w:hAnsi="Calibri" w:cs="Calibri"/>
          <w:b/>
          <w:color w:val="538135"/>
          <w:sz w:val="26"/>
          <w:szCs w:val="26"/>
        </w:rPr>
      </w:pPr>
      <w:bookmarkStart w:id="0" w:name="_Toc118913357"/>
      <w:r w:rsidRPr="006A4EC4">
        <w:rPr>
          <w:rFonts w:ascii="Calibri" w:eastAsia="Times New Roman" w:hAnsi="Calibri" w:cs="Calibri"/>
          <w:b/>
          <w:color w:val="538135"/>
          <w:sz w:val="26"/>
          <w:szCs w:val="26"/>
        </w:rPr>
        <w:lastRenderedPageBreak/>
        <w:t>Introduction</w:t>
      </w:r>
      <w:bookmarkEnd w:id="0"/>
      <w:r w:rsidRPr="006A4EC4">
        <w:rPr>
          <w:rFonts w:ascii="Calibri" w:eastAsia="Times New Roman" w:hAnsi="Calibri" w:cs="Calibri"/>
          <w:b/>
          <w:color w:val="538135"/>
          <w:sz w:val="26"/>
          <w:szCs w:val="26"/>
        </w:rPr>
        <w:t xml:space="preserve"> </w:t>
      </w:r>
    </w:p>
    <w:p w14:paraId="5F6CF6E9" w14:textId="77777777" w:rsidR="006A4EC4" w:rsidRPr="006A4EC4" w:rsidRDefault="006A4EC4" w:rsidP="006A4EC4">
      <w:pPr>
        <w:spacing w:after="0" w:line="240" w:lineRule="auto"/>
        <w:rPr>
          <w:rFonts w:ascii="Calibri" w:eastAsia="Calibri" w:hAnsi="Calibri" w:cs="Times New Roman"/>
        </w:rPr>
      </w:pPr>
    </w:p>
    <w:p w14:paraId="72493A88" w14:textId="77777777" w:rsidR="006A4EC4" w:rsidRPr="006A4EC4" w:rsidRDefault="006A4EC4" w:rsidP="006A4EC4">
      <w:pPr>
        <w:spacing w:after="0" w:line="240" w:lineRule="auto"/>
        <w:rPr>
          <w:rFonts w:ascii="Calibri" w:eastAsia="Calibri" w:hAnsi="Calibri" w:cs="Times New Roman"/>
        </w:rPr>
      </w:pPr>
      <w:r w:rsidRPr="006A4EC4">
        <w:rPr>
          <w:rFonts w:ascii="Calibri" w:eastAsia="Calibri" w:hAnsi="Calibri" w:cs="Times New Roman"/>
        </w:rPr>
        <w:t xml:space="preserve">Please provide an introduction to the evolution of the smes and enterpreneurship situation in your country </w:t>
      </w:r>
    </w:p>
    <w:p w14:paraId="7E577734" w14:textId="77777777" w:rsidR="006A4EC4" w:rsidRPr="006A4EC4" w:rsidRDefault="006A4EC4" w:rsidP="006A4EC4">
      <w:pPr>
        <w:spacing w:after="0" w:line="240" w:lineRule="auto"/>
        <w:rPr>
          <w:rFonts w:ascii="Calibri" w:eastAsia="Calibri" w:hAnsi="Calibri" w:cs="Times New Roman"/>
        </w:rPr>
      </w:pPr>
    </w:p>
    <w:p w14:paraId="7C84F335" w14:textId="77777777" w:rsidR="006A4EC4" w:rsidRPr="006A4EC4" w:rsidRDefault="006A4EC4" w:rsidP="006A4EC4">
      <w:pPr>
        <w:spacing w:after="0" w:line="240" w:lineRule="auto"/>
        <w:rPr>
          <w:rFonts w:ascii="Calibri" w:eastAsia="Calibri" w:hAnsi="Calibri" w:cs="Times New Roman"/>
        </w:rPr>
      </w:pPr>
      <w:r w:rsidRPr="006A4EC4">
        <w:rPr>
          <w:rFonts w:ascii="Calibri" w:eastAsia="Calibri" w:hAnsi="Calibri" w:cs="Times New Roman"/>
        </w:rPr>
        <w:t>Definitions: Sustainable Business development in the ecsystem of smes and entrepreneurs?</w:t>
      </w:r>
    </w:p>
    <w:p w14:paraId="1373390F" w14:textId="77777777" w:rsidR="006A4EC4" w:rsidRPr="006A4EC4" w:rsidRDefault="006A4EC4" w:rsidP="006A4EC4">
      <w:pPr>
        <w:spacing w:after="0" w:line="240" w:lineRule="auto"/>
        <w:rPr>
          <w:rFonts w:ascii="Calibri" w:eastAsia="Calibri" w:hAnsi="Calibri" w:cs="Times New Roman"/>
        </w:rPr>
      </w:pPr>
    </w:p>
    <w:p w14:paraId="4660B137" w14:textId="3AF7A933" w:rsidR="006A4EC4" w:rsidRDefault="006A4EC4" w:rsidP="006A4EC4">
      <w:pPr>
        <w:spacing w:after="0" w:line="240" w:lineRule="auto"/>
        <w:rPr>
          <w:rFonts w:ascii="Calibri" w:eastAsia="Calibri" w:hAnsi="Calibri" w:cs="Times New Roman"/>
        </w:rPr>
      </w:pPr>
      <w:r w:rsidRPr="006A4EC4">
        <w:rPr>
          <w:rFonts w:ascii="Calibri" w:eastAsia="Calibri" w:hAnsi="Calibri" w:cs="Times New Roman"/>
        </w:rPr>
        <w:t>Is there any regulatory framework relevant to sustainable business development?</w:t>
      </w:r>
    </w:p>
    <w:p w14:paraId="4A22D521" w14:textId="35573765" w:rsidR="00C072F1" w:rsidRDefault="00C072F1" w:rsidP="006A4EC4">
      <w:pPr>
        <w:spacing w:after="0" w:line="240" w:lineRule="auto"/>
        <w:rPr>
          <w:rFonts w:ascii="Calibri" w:eastAsia="Calibri" w:hAnsi="Calibri" w:cs="Times New Roman"/>
        </w:rPr>
      </w:pPr>
    </w:p>
    <w:p w14:paraId="50E07F9E" w14:textId="77777777" w:rsidR="00C072F1" w:rsidRDefault="00C072F1" w:rsidP="00C072F1">
      <w:pPr>
        <w:spacing w:after="0" w:line="240" w:lineRule="auto"/>
        <w:rPr>
          <w:rFonts w:ascii="Calibri" w:eastAsia="Calibri" w:hAnsi="Calibri" w:cs="Times New Roman"/>
        </w:rPr>
      </w:pPr>
    </w:p>
    <w:p w14:paraId="067B70BD" w14:textId="77777777" w:rsidR="006A4EC4" w:rsidRPr="006A4EC4" w:rsidRDefault="006A4EC4" w:rsidP="006A4EC4">
      <w:pPr>
        <w:spacing w:after="0" w:line="240" w:lineRule="auto"/>
        <w:rPr>
          <w:rFonts w:ascii="Calibri" w:eastAsia="Calibri" w:hAnsi="Calibri" w:cs="Times New Roman"/>
        </w:rPr>
      </w:pPr>
    </w:p>
    <w:p w14:paraId="48A0A966" w14:textId="77777777" w:rsidR="006A4EC4" w:rsidRPr="006A4EC4" w:rsidRDefault="006A4EC4" w:rsidP="006A4EC4">
      <w:pPr>
        <w:spacing w:after="0" w:line="240" w:lineRule="auto"/>
        <w:rPr>
          <w:rFonts w:ascii="Calibri" w:eastAsia="Calibri" w:hAnsi="Calibri" w:cs="Times New Roman"/>
        </w:rPr>
      </w:pPr>
    </w:p>
    <w:p w14:paraId="793E10E9" w14:textId="77777777" w:rsidR="006A4EC4" w:rsidRDefault="006A4EC4">
      <w:r>
        <w:br w:type="page"/>
      </w:r>
    </w:p>
    <w:p w14:paraId="3CAB23F5" w14:textId="3A2EBC8A" w:rsidR="001E344E" w:rsidRDefault="006A4EC4" w:rsidP="006A4EC4">
      <w:pPr>
        <w:keepNext/>
        <w:keepLines/>
        <w:spacing w:before="240" w:after="0"/>
        <w:outlineLvl w:val="0"/>
        <w:rPr>
          <w:rFonts w:ascii="Calibri" w:eastAsia="Times New Roman" w:hAnsi="Calibri" w:cs="Calibri"/>
          <w:b/>
          <w:color w:val="538135"/>
          <w:sz w:val="26"/>
          <w:szCs w:val="26"/>
          <w:lang w:val="en-US"/>
        </w:rPr>
      </w:pPr>
      <w:bookmarkStart w:id="1" w:name="_Toc118913358"/>
      <w:r>
        <w:rPr>
          <w:rFonts w:ascii="Calibri" w:eastAsia="Times New Roman" w:hAnsi="Calibri" w:cs="Calibri"/>
          <w:b/>
          <w:color w:val="538135"/>
          <w:sz w:val="26"/>
          <w:szCs w:val="26"/>
        </w:rPr>
        <w:lastRenderedPageBreak/>
        <w:t>Current Situation</w:t>
      </w:r>
      <w:r w:rsidRPr="006A4EC4">
        <w:rPr>
          <w:rFonts w:ascii="Calibri" w:eastAsia="Times New Roman" w:hAnsi="Calibri" w:cs="Calibri"/>
          <w:b/>
          <w:color w:val="538135"/>
          <w:sz w:val="26"/>
          <w:szCs w:val="26"/>
        </w:rPr>
        <w:t xml:space="preserve"> of Smes and Entrepreneurs</w:t>
      </w:r>
      <w:r>
        <w:rPr>
          <w:rFonts w:ascii="Calibri" w:eastAsia="Times New Roman" w:hAnsi="Calibri" w:cs="Calibri"/>
          <w:b/>
          <w:color w:val="538135"/>
          <w:sz w:val="26"/>
          <w:szCs w:val="26"/>
        </w:rPr>
        <w:t>/ Sustainable Development</w:t>
      </w:r>
      <w:r w:rsidRPr="006A4EC4">
        <w:rPr>
          <w:rFonts w:ascii="Calibri" w:eastAsia="Times New Roman" w:hAnsi="Calibri" w:cs="Calibri"/>
          <w:b/>
          <w:color w:val="538135"/>
          <w:sz w:val="26"/>
          <w:szCs w:val="26"/>
        </w:rPr>
        <w:t xml:space="preserve">  in </w:t>
      </w:r>
      <w:bookmarkEnd w:id="1"/>
      <w:r w:rsidR="001E344E">
        <w:rPr>
          <w:rFonts w:ascii="Calibri" w:eastAsia="Times New Roman" w:hAnsi="Calibri" w:cs="Calibri"/>
          <w:b/>
          <w:color w:val="538135"/>
          <w:sz w:val="26"/>
          <w:szCs w:val="26"/>
          <w:lang w:val="en-US"/>
        </w:rPr>
        <w:t>GREECE</w:t>
      </w:r>
    </w:p>
    <w:p w14:paraId="74AF4C6D" w14:textId="77777777" w:rsidR="001E344E" w:rsidRPr="001E344E" w:rsidRDefault="001E344E" w:rsidP="001E344E">
      <w:pPr>
        <w:keepNext/>
        <w:keepLines/>
        <w:spacing w:before="240" w:after="0"/>
        <w:outlineLvl w:val="0"/>
        <w:rPr>
          <w:rFonts w:ascii="Calibri" w:eastAsia="Times New Roman" w:hAnsi="Calibri" w:cs="Calibri"/>
          <w:bCs/>
          <w:color w:val="000000" w:themeColor="text1"/>
          <w:lang w:val="en-US"/>
        </w:rPr>
      </w:pPr>
      <w:r w:rsidRPr="001E344E">
        <w:rPr>
          <w:rFonts w:ascii="Calibri" w:eastAsia="Times New Roman" w:hAnsi="Calibri" w:cs="Calibri"/>
          <w:bCs/>
          <w:color w:val="000000" w:themeColor="text1"/>
          <w:lang w:val="en-US"/>
        </w:rPr>
        <w:t xml:space="preserve">Small and medium-sized enterprises (SMEs) are the driving force of the economy, both at national and European level, making a significant contribution to job creation, value added and GDP. They play an important role in boosting employment, </w:t>
      </w:r>
      <w:proofErr w:type="gramStart"/>
      <w:r w:rsidRPr="001E344E">
        <w:rPr>
          <w:rFonts w:ascii="Calibri" w:eastAsia="Times New Roman" w:hAnsi="Calibri" w:cs="Calibri"/>
          <w:bCs/>
          <w:color w:val="000000" w:themeColor="text1"/>
          <w:lang w:val="en-US"/>
        </w:rPr>
        <w:t>competitiveness</w:t>
      </w:r>
      <w:proofErr w:type="gramEnd"/>
      <w:r w:rsidRPr="001E344E">
        <w:rPr>
          <w:rFonts w:ascii="Calibri" w:eastAsia="Times New Roman" w:hAnsi="Calibri" w:cs="Calibri"/>
          <w:bCs/>
          <w:color w:val="000000" w:themeColor="text1"/>
          <w:lang w:val="en-US"/>
        </w:rPr>
        <w:t xml:space="preserve"> and innovation, while ensuring social stability.</w:t>
      </w:r>
    </w:p>
    <w:p w14:paraId="0413F327" w14:textId="77777777" w:rsidR="001E344E" w:rsidRPr="001E344E" w:rsidRDefault="001E344E" w:rsidP="001E344E">
      <w:pPr>
        <w:keepNext/>
        <w:keepLines/>
        <w:spacing w:before="240" w:after="0"/>
        <w:outlineLvl w:val="0"/>
        <w:rPr>
          <w:rFonts w:ascii="Calibri" w:eastAsia="Times New Roman" w:hAnsi="Calibri" w:cs="Calibri"/>
          <w:bCs/>
          <w:color w:val="000000" w:themeColor="text1"/>
          <w:lang w:val="en-US"/>
        </w:rPr>
      </w:pPr>
      <w:r w:rsidRPr="001E344E">
        <w:rPr>
          <w:rFonts w:ascii="Calibri" w:eastAsia="Times New Roman" w:hAnsi="Calibri" w:cs="Calibri"/>
          <w:bCs/>
          <w:color w:val="000000" w:themeColor="text1"/>
          <w:lang w:val="en-US"/>
        </w:rPr>
        <w:t xml:space="preserve">However, their survival is not easy in today's competitive global environment. It requires continuous </w:t>
      </w:r>
      <w:proofErr w:type="spellStart"/>
      <w:r w:rsidRPr="001E344E">
        <w:rPr>
          <w:rFonts w:ascii="Calibri" w:eastAsia="Times New Roman" w:hAnsi="Calibri" w:cs="Calibri"/>
          <w:bCs/>
          <w:color w:val="000000" w:themeColor="text1"/>
          <w:lang w:val="en-US"/>
        </w:rPr>
        <w:t>modernisation</w:t>
      </w:r>
      <w:proofErr w:type="spellEnd"/>
      <w:r w:rsidRPr="001E344E">
        <w:rPr>
          <w:rFonts w:ascii="Calibri" w:eastAsia="Times New Roman" w:hAnsi="Calibri" w:cs="Calibri"/>
          <w:bCs/>
          <w:color w:val="000000" w:themeColor="text1"/>
          <w:lang w:val="en-US"/>
        </w:rPr>
        <w:t xml:space="preserve"> in production and management, innovative services and products, access to relevant information and funding, adoption of advanced technologies, data exploitation, </w:t>
      </w:r>
      <w:proofErr w:type="gramStart"/>
      <w:r w:rsidRPr="001E344E">
        <w:rPr>
          <w:rFonts w:ascii="Calibri" w:eastAsia="Times New Roman" w:hAnsi="Calibri" w:cs="Calibri"/>
          <w:bCs/>
          <w:color w:val="000000" w:themeColor="text1"/>
          <w:lang w:val="en-US"/>
        </w:rPr>
        <w:t>networking</w:t>
      </w:r>
      <w:proofErr w:type="gramEnd"/>
      <w:r w:rsidRPr="001E344E">
        <w:rPr>
          <w:rFonts w:ascii="Calibri" w:eastAsia="Times New Roman" w:hAnsi="Calibri" w:cs="Calibri"/>
          <w:bCs/>
          <w:color w:val="000000" w:themeColor="text1"/>
          <w:lang w:val="en-US"/>
        </w:rPr>
        <w:t xml:space="preserve"> and partnerships. The role of the State is crucial in supporting small and medium-sized entrepreneurship, through the creation of a </w:t>
      </w:r>
      <w:proofErr w:type="spellStart"/>
      <w:r w:rsidRPr="001E344E">
        <w:rPr>
          <w:rFonts w:ascii="Calibri" w:eastAsia="Times New Roman" w:hAnsi="Calibri" w:cs="Calibri"/>
          <w:bCs/>
          <w:color w:val="000000" w:themeColor="text1"/>
          <w:lang w:val="en-US"/>
        </w:rPr>
        <w:t>favourable</w:t>
      </w:r>
      <w:proofErr w:type="spellEnd"/>
      <w:r w:rsidRPr="001E344E">
        <w:rPr>
          <w:rFonts w:ascii="Calibri" w:eastAsia="Times New Roman" w:hAnsi="Calibri" w:cs="Calibri"/>
          <w:bCs/>
          <w:color w:val="000000" w:themeColor="text1"/>
          <w:lang w:val="en-US"/>
        </w:rPr>
        <w:t xml:space="preserve"> environment and the establishment of support structures.</w:t>
      </w:r>
    </w:p>
    <w:p w14:paraId="0C63D4E5" w14:textId="1DCBB106" w:rsidR="001E344E" w:rsidRDefault="001E344E" w:rsidP="001E344E">
      <w:pPr>
        <w:keepNext/>
        <w:keepLines/>
        <w:spacing w:before="240" w:after="0"/>
        <w:outlineLvl w:val="0"/>
        <w:rPr>
          <w:rFonts w:ascii="Calibri" w:eastAsia="Times New Roman" w:hAnsi="Calibri" w:cs="Calibri"/>
          <w:bCs/>
          <w:color w:val="000000" w:themeColor="text1"/>
          <w:lang w:val="en-US"/>
        </w:rPr>
      </w:pPr>
      <w:r w:rsidRPr="001E344E">
        <w:rPr>
          <w:rFonts w:ascii="Calibri" w:eastAsia="Times New Roman" w:hAnsi="Calibri" w:cs="Calibri"/>
          <w:bCs/>
          <w:color w:val="000000" w:themeColor="text1"/>
          <w:lang w:val="en-US"/>
        </w:rPr>
        <w:t xml:space="preserve">At European level (EU-28), 99.8% of enterprises in all sectors except finance are SMEs. These enterprises employ 93 million people, which corresponds to 67% of total employment. </w:t>
      </w:r>
      <w:proofErr w:type="gramStart"/>
      <w:r w:rsidRPr="001E344E">
        <w:rPr>
          <w:rFonts w:ascii="Calibri" w:eastAsia="Times New Roman" w:hAnsi="Calibri" w:cs="Calibri"/>
          <w:bCs/>
          <w:color w:val="000000" w:themeColor="text1"/>
          <w:lang w:val="en-US"/>
        </w:rPr>
        <w:t>The majority of</w:t>
      </w:r>
      <w:proofErr w:type="gramEnd"/>
      <w:r w:rsidRPr="001E344E">
        <w:rPr>
          <w:rFonts w:ascii="Calibri" w:eastAsia="Times New Roman" w:hAnsi="Calibri" w:cs="Calibri"/>
          <w:bCs/>
          <w:color w:val="000000" w:themeColor="text1"/>
          <w:lang w:val="en-US"/>
        </w:rPr>
        <w:t xml:space="preserve"> these SMEs (93%) are small enterprises employing fewer than 10 persons. In Greece, their number is close to 99.9% of the total number of enterprises. They cover a wide range of activities and sectors. They account for about 19.3% of GDP and 87% of business employment.</w:t>
      </w:r>
    </w:p>
    <w:p w14:paraId="2A52E409" w14:textId="10ED349C" w:rsidR="008E13F4" w:rsidRPr="001E344E" w:rsidRDefault="008E13F4" w:rsidP="008E13F4">
      <w:pPr>
        <w:keepNext/>
        <w:keepLines/>
        <w:spacing w:before="240" w:after="0"/>
        <w:jc w:val="center"/>
        <w:outlineLvl w:val="0"/>
        <w:rPr>
          <w:rFonts w:ascii="Calibri" w:eastAsia="Times New Roman" w:hAnsi="Calibri" w:cs="Calibri"/>
          <w:bCs/>
          <w:color w:val="000000" w:themeColor="text1"/>
          <w:lang w:val="en-US"/>
        </w:rPr>
      </w:pPr>
      <w:r>
        <w:rPr>
          <w:rFonts w:ascii="Calibri" w:eastAsia="Times New Roman" w:hAnsi="Calibri" w:cs="Calibri"/>
          <w:bCs/>
          <w:noProof/>
          <w:color w:val="000000" w:themeColor="text1"/>
          <w:lang w:val="en-US"/>
        </w:rPr>
        <w:drawing>
          <wp:inline distT="0" distB="0" distL="0" distR="0" wp14:anchorId="770805C8" wp14:editId="6825D1AE">
            <wp:extent cx="3914775" cy="2939056"/>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6">
                      <a:extLst>
                        <a:ext uri="{28A0092B-C50C-407E-A947-70E740481C1C}">
                          <a14:useLocalDpi xmlns:a14="http://schemas.microsoft.com/office/drawing/2010/main" val="0"/>
                        </a:ext>
                      </a:extLst>
                    </a:blip>
                    <a:stretch>
                      <a:fillRect/>
                    </a:stretch>
                  </pic:blipFill>
                  <pic:spPr>
                    <a:xfrm>
                      <a:off x="0" y="0"/>
                      <a:ext cx="3919865" cy="2942877"/>
                    </a:xfrm>
                    <a:prstGeom prst="rect">
                      <a:avLst/>
                    </a:prstGeom>
                  </pic:spPr>
                </pic:pic>
              </a:graphicData>
            </a:graphic>
          </wp:inline>
        </w:drawing>
      </w:r>
    </w:p>
    <w:p w14:paraId="6CEB11BB" w14:textId="77777777" w:rsidR="001E344E" w:rsidRPr="001E344E" w:rsidRDefault="001E344E" w:rsidP="001E344E">
      <w:pPr>
        <w:keepNext/>
        <w:keepLines/>
        <w:spacing w:before="240" w:after="0"/>
        <w:outlineLvl w:val="0"/>
        <w:rPr>
          <w:rFonts w:ascii="Calibri" w:eastAsia="Times New Roman" w:hAnsi="Calibri" w:cs="Calibri"/>
          <w:bCs/>
          <w:color w:val="000000" w:themeColor="text1"/>
          <w:lang w:val="en-US"/>
        </w:rPr>
      </w:pPr>
      <w:r w:rsidRPr="001E344E">
        <w:rPr>
          <w:rFonts w:ascii="Calibri" w:eastAsia="Times New Roman" w:hAnsi="Calibri" w:cs="Calibri"/>
          <w:bCs/>
          <w:color w:val="000000" w:themeColor="text1"/>
          <w:lang w:val="en-US"/>
        </w:rPr>
        <w:t xml:space="preserve">SMEs constitute </w:t>
      </w:r>
      <w:proofErr w:type="gramStart"/>
      <w:r w:rsidRPr="001E344E">
        <w:rPr>
          <w:rFonts w:ascii="Calibri" w:eastAsia="Times New Roman" w:hAnsi="Calibri" w:cs="Calibri"/>
          <w:bCs/>
          <w:color w:val="000000" w:themeColor="text1"/>
          <w:lang w:val="en-US"/>
        </w:rPr>
        <w:t>the overwhelming majority of</w:t>
      </w:r>
      <w:proofErr w:type="gramEnd"/>
      <w:r w:rsidRPr="001E344E">
        <w:rPr>
          <w:rFonts w:ascii="Calibri" w:eastAsia="Times New Roman" w:hAnsi="Calibri" w:cs="Calibri"/>
          <w:bCs/>
          <w:color w:val="000000" w:themeColor="text1"/>
          <w:lang w:val="en-US"/>
        </w:rPr>
        <w:t xml:space="preserve"> business activity in Greece, accounting for 99.5% of all enterprises, 86.9% of employment (more than any other EU Member State) and 73.2% of value added. According to the EU report, employment in SMEs increased by 2.4% in 2015-2016, while value added rose by 1.4%. In 2018, an additional 96,500 new jobs are expected to be created by SMEs, while projections show </w:t>
      </w:r>
      <w:proofErr w:type="gramStart"/>
      <w:r w:rsidRPr="001E344E">
        <w:rPr>
          <w:rFonts w:ascii="Calibri" w:eastAsia="Times New Roman" w:hAnsi="Calibri" w:cs="Calibri"/>
          <w:bCs/>
          <w:color w:val="000000" w:themeColor="text1"/>
          <w:lang w:val="en-US"/>
        </w:rPr>
        <w:t>a positive growth</w:t>
      </w:r>
      <w:proofErr w:type="gramEnd"/>
      <w:r w:rsidRPr="001E344E">
        <w:rPr>
          <w:rFonts w:ascii="Calibri" w:eastAsia="Times New Roman" w:hAnsi="Calibri" w:cs="Calibri"/>
          <w:bCs/>
          <w:color w:val="000000" w:themeColor="text1"/>
          <w:lang w:val="en-US"/>
        </w:rPr>
        <w:t xml:space="preserve"> rate of 5.8% in value added. As the vast majority of Greek SMEs consist of very small businesses, under 10 people, the importance of small entrepreneurship in our country for employment and job creation, as well as for the economy in general, is highlighted.</w:t>
      </w:r>
    </w:p>
    <w:p w14:paraId="6072E9FA" w14:textId="77777777" w:rsidR="008E13F4" w:rsidRDefault="008E13F4" w:rsidP="001E344E">
      <w:pPr>
        <w:keepNext/>
        <w:keepLines/>
        <w:spacing w:before="240" w:after="0"/>
        <w:outlineLvl w:val="0"/>
        <w:rPr>
          <w:rFonts w:ascii="Calibri" w:eastAsia="Times New Roman" w:hAnsi="Calibri" w:cs="Calibri"/>
          <w:bCs/>
          <w:color w:val="000000" w:themeColor="text1"/>
          <w:lang w:val="en-US"/>
        </w:rPr>
      </w:pPr>
    </w:p>
    <w:p w14:paraId="5F6DB951" w14:textId="232B760F" w:rsidR="008E13F4" w:rsidRDefault="008E13F4" w:rsidP="008E13F4">
      <w:pPr>
        <w:keepNext/>
        <w:keepLines/>
        <w:spacing w:before="240" w:after="0"/>
        <w:jc w:val="center"/>
        <w:outlineLvl w:val="0"/>
        <w:rPr>
          <w:rFonts w:ascii="Calibri" w:eastAsia="Times New Roman" w:hAnsi="Calibri" w:cs="Calibri"/>
          <w:bCs/>
          <w:color w:val="000000" w:themeColor="text1"/>
          <w:lang w:val="en-US"/>
        </w:rPr>
      </w:pPr>
      <w:r>
        <w:rPr>
          <w:rFonts w:ascii="Calibri" w:eastAsia="Times New Roman" w:hAnsi="Calibri" w:cs="Calibri"/>
          <w:bCs/>
          <w:noProof/>
          <w:color w:val="000000" w:themeColor="text1"/>
          <w:lang w:val="en-US"/>
        </w:rPr>
        <w:lastRenderedPageBreak/>
        <w:drawing>
          <wp:inline distT="0" distB="0" distL="0" distR="0" wp14:anchorId="555CF258" wp14:editId="172B5993">
            <wp:extent cx="3800475" cy="2853244"/>
            <wp:effectExtent l="0" t="0" r="0" b="444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7">
                      <a:extLst>
                        <a:ext uri="{28A0092B-C50C-407E-A947-70E740481C1C}">
                          <a14:useLocalDpi xmlns:a14="http://schemas.microsoft.com/office/drawing/2010/main" val="0"/>
                        </a:ext>
                      </a:extLst>
                    </a:blip>
                    <a:stretch>
                      <a:fillRect/>
                    </a:stretch>
                  </pic:blipFill>
                  <pic:spPr>
                    <a:xfrm>
                      <a:off x="0" y="0"/>
                      <a:ext cx="3805662" cy="2857138"/>
                    </a:xfrm>
                    <a:prstGeom prst="rect">
                      <a:avLst/>
                    </a:prstGeom>
                  </pic:spPr>
                </pic:pic>
              </a:graphicData>
            </a:graphic>
          </wp:inline>
        </w:drawing>
      </w:r>
    </w:p>
    <w:p w14:paraId="11142A26" w14:textId="33870F96" w:rsidR="001E344E" w:rsidRPr="001E344E" w:rsidRDefault="001E344E" w:rsidP="001E344E">
      <w:pPr>
        <w:keepNext/>
        <w:keepLines/>
        <w:spacing w:before="240" w:after="0"/>
        <w:outlineLvl w:val="0"/>
        <w:rPr>
          <w:rFonts w:ascii="Calibri" w:eastAsia="Times New Roman" w:hAnsi="Calibri" w:cs="Calibri"/>
          <w:bCs/>
          <w:color w:val="000000" w:themeColor="text1"/>
          <w:lang w:val="en-US"/>
        </w:rPr>
      </w:pPr>
      <w:r w:rsidRPr="001E344E">
        <w:rPr>
          <w:rFonts w:ascii="Calibri" w:eastAsia="Times New Roman" w:hAnsi="Calibri" w:cs="Calibri"/>
          <w:bCs/>
          <w:color w:val="000000" w:themeColor="text1"/>
          <w:lang w:val="en-US"/>
        </w:rPr>
        <w:t>SMEs are an important pillar of the Greek production process and can play a central role in the development and productive transformation of the economy and in the creation of new jobs. However, the pressures exerted during the crisis have left a strong imprint. Today in Europe, the number of SMEs, employment in SMEs and the value added generated have returned to pre-crisis levels, with only a few exceptions, one of which is Greece. Nevertheless, there is an entrepreneurial profile of medium and small enterprises that has withstood the crisis and can also lead to recovery.</w:t>
      </w:r>
    </w:p>
    <w:p w14:paraId="7C0A59C5" w14:textId="35BFD60E" w:rsidR="001E344E" w:rsidRDefault="001E344E" w:rsidP="001E344E">
      <w:pPr>
        <w:keepNext/>
        <w:keepLines/>
        <w:spacing w:before="240" w:after="0"/>
        <w:outlineLvl w:val="0"/>
        <w:rPr>
          <w:rFonts w:ascii="Calibri" w:eastAsia="Times New Roman" w:hAnsi="Calibri" w:cs="Calibri"/>
          <w:bCs/>
          <w:color w:val="000000" w:themeColor="text1"/>
          <w:lang w:val="en-US"/>
        </w:rPr>
      </w:pPr>
      <w:r w:rsidRPr="001E344E">
        <w:rPr>
          <w:rFonts w:ascii="Calibri" w:eastAsia="Times New Roman" w:hAnsi="Calibri" w:cs="Calibri"/>
          <w:bCs/>
          <w:color w:val="000000" w:themeColor="text1"/>
          <w:lang w:val="en-US"/>
        </w:rPr>
        <w:t xml:space="preserve">Entrepreneurship is a key component of the industrial policy of any modern state. However, it cannot, on its own, lead to the economic development of a country. The economic impact of micro and small enterprises is limited, as they are </w:t>
      </w:r>
      <w:proofErr w:type="spellStart"/>
      <w:r w:rsidRPr="001E344E">
        <w:rPr>
          <w:rFonts w:ascii="Calibri" w:eastAsia="Times New Roman" w:hAnsi="Calibri" w:cs="Calibri"/>
          <w:bCs/>
          <w:color w:val="000000" w:themeColor="text1"/>
          <w:lang w:val="en-US"/>
        </w:rPr>
        <w:t>characterised</w:t>
      </w:r>
      <w:proofErr w:type="spellEnd"/>
      <w:r w:rsidRPr="001E344E">
        <w:rPr>
          <w:rFonts w:ascii="Calibri" w:eastAsia="Times New Roman" w:hAnsi="Calibri" w:cs="Calibri"/>
          <w:bCs/>
          <w:color w:val="000000" w:themeColor="text1"/>
          <w:lang w:val="en-US"/>
        </w:rPr>
        <w:t xml:space="preserve"> by low productivity, difficulties in incorporating innovation and the use of economies of scale.</w:t>
      </w:r>
    </w:p>
    <w:p w14:paraId="3F288F4A" w14:textId="77777777" w:rsidR="00825345" w:rsidRPr="00825345" w:rsidRDefault="00825345" w:rsidP="00825345">
      <w:pPr>
        <w:keepNext/>
        <w:keepLines/>
        <w:spacing w:before="240" w:after="0"/>
        <w:outlineLvl w:val="0"/>
        <w:rPr>
          <w:rFonts w:ascii="Calibri" w:eastAsia="Times New Roman" w:hAnsi="Calibri" w:cs="Calibri"/>
          <w:bCs/>
          <w:color w:val="000000" w:themeColor="text1"/>
          <w:lang w:val="en-US"/>
        </w:rPr>
      </w:pPr>
      <w:r w:rsidRPr="00825345">
        <w:rPr>
          <w:rFonts w:ascii="Calibri" w:eastAsia="Times New Roman" w:hAnsi="Calibri" w:cs="Calibri"/>
          <w:bCs/>
          <w:color w:val="000000" w:themeColor="text1"/>
          <w:lang w:val="en-US"/>
        </w:rPr>
        <w:t>In recent years, increasing importance has been attached to business growth, the so-called "scale-up", especially for companies with growth potential. Scaling up for a business is understood by the OECD to mean an increase in the annual rate of employment or revenue of more than 20% over a three-year period, and if it had 10 or more employees at the beginning of the period.</w:t>
      </w:r>
    </w:p>
    <w:p w14:paraId="120DD9E9" w14:textId="77777777" w:rsidR="00825345" w:rsidRPr="00825345" w:rsidRDefault="00825345" w:rsidP="00825345">
      <w:pPr>
        <w:keepNext/>
        <w:keepLines/>
        <w:spacing w:before="240" w:after="0"/>
        <w:outlineLvl w:val="0"/>
        <w:rPr>
          <w:rFonts w:ascii="Calibri" w:eastAsia="Times New Roman" w:hAnsi="Calibri" w:cs="Calibri"/>
          <w:bCs/>
          <w:color w:val="000000" w:themeColor="text1"/>
          <w:lang w:val="en-US"/>
        </w:rPr>
      </w:pPr>
      <w:proofErr w:type="gramStart"/>
      <w:r w:rsidRPr="00825345">
        <w:rPr>
          <w:rFonts w:ascii="Calibri" w:eastAsia="Times New Roman" w:hAnsi="Calibri" w:cs="Calibri"/>
          <w:bCs/>
          <w:color w:val="000000" w:themeColor="text1"/>
          <w:lang w:val="en-US"/>
        </w:rPr>
        <w:t>In order to</w:t>
      </w:r>
      <w:proofErr w:type="gramEnd"/>
      <w:r w:rsidRPr="00825345">
        <w:rPr>
          <w:rFonts w:ascii="Calibri" w:eastAsia="Times New Roman" w:hAnsi="Calibri" w:cs="Calibri"/>
          <w:bCs/>
          <w:color w:val="000000" w:themeColor="text1"/>
          <w:lang w:val="en-US"/>
        </w:rPr>
        <w:t xml:space="preserve"> provide effective support to SMEs and to increase the size of their business (given that Greece has a very high percentage of micro enterprises), the Greek Ministry of Economy and Development is promoting the creation of relevant support structures. In today's </w:t>
      </w:r>
      <w:proofErr w:type="spellStart"/>
      <w:r w:rsidRPr="00825345">
        <w:rPr>
          <w:rFonts w:ascii="Calibri" w:eastAsia="Times New Roman" w:hAnsi="Calibri" w:cs="Calibri"/>
          <w:bCs/>
          <w:color w:val="000000" w:themeColor="text1"/>
          <w:lang w:val="en-US"/>
        </w:rPr>
        <w:t>globalised</w:t>
      </w:r>
      <w:proofErr w:type="spellEnd"/>
      <w:r w:rsidRPr="00825345">
        <w:rPr>
          <w:rFonts w:ascii="Calibri" w:eastAsia="Times New Roman" w:hAnsi="Calibri" w:cs="Calibri"/>
          <w:bCs/>
          <w:color w:val="000000" w:themeColor="text1"/>
          <w:lang w:val="en-US"/>
        </w:rPr>
        <w:t xml:space="preserve"> market environment and the demand for digital transformation, SMEs need to be effectively supported to increase their productivity, innovative capacity, to integrate into value chains, to incorporate digital technologies and new skills and to enhance their outward orientation. It is therefore necessary to create a coherent public interest structure that will operate in an integrated way to address the challenges, seek partnerships with Chambers of Commerce, </w:t>
      </w:r>
      <w:proofErr w:type="gramStart"/>
      <w:r w:rsidRPr="00825345">
        <w:rPr>
          <w:rFonts w:ascii="Calibri" w:eastAsia="Times New Roman" w:hAnsi="Calibri" w:cs="Calibri"/>
          <w:bCs/>
          <w:color w:val="000000" w:themeColor="text1"/>
          <w:lang w:val="en-US"/>
        </w:rPr>
        <w:t>Universities</w:t>
      </w:r>
      <w:proofErr w:type="gramEnd"/>
      <w:r w:rsidRPr="00825345">
        <w:rPr>
          <w:rFonts w:ascii="Calibri" w:eastAsia="Times New Roman" w:hAnsi="Calibri" w:cs="Calibri"/>
          <w:bCs/>
          <w:color w:val="000000" w:themeColor="text1"/>
          <w:lang w:val="en-US"/>
        </w:rPr>
        <w:t xml:space="preserve"> and research </w:t>
      </w:r>
      <w:proofErr w:type="spellStart"/>
      <w:r w:rsidRPr="00825345">
        <w:rPr>
          <w:rFonts w:ascii="Calibri" w:eastAsia="Times New Roman" w:hAnsi="Calibri" w:cs="Calibri"/>
          <w:bCs/>
          <w:color w:val="000000" w:themeColor="text1"/>
          <w:lang w:val="en-US"/>
        </w:rPr>
        <w:t>centres</w:t>
      </w:r>
      <w:proofErr w:type="spellEnd"/>
      <w:r w:rsidRPr="00825345">
        <w:rPr>
          <w:rFonts w:ascii="Calibri" w:eastAsia="Times New Roman" w:hAnsi="Calibri" w:cs="Calibri"/>
          <w:bCs/>
          <w:color w:val="000000" w:themeColor="text1"/>
          <w:lang w:val="en-US"/>
        </w:rPr>
        <w:t xml:space="preserve">, coordinate and expand the services currently provided by various institutions to support SMEs. </w:t>
      </w:r>
    </w:p>
    <w:p w14:paraId="36D58008" w14:textId="77777777" w:rsidR="008E13F4" w:rsidRDefault="008E13F4" w:rsidP="00825345">
      <w:pPr>
        <w:keepNext/>
        <w:keepLines/>
        <w:spacing w:before="240" w:after="0"/>
        <w:outlineLvl w:val="0"/>
        <w:rPr>
          <w:rFonts w:ascii="Calibri" w:eastAsia="Times New Roman" w:hAnsi="Calibri" w:cs="Calibri"/>
          <w:b/>
          <w:color w:val="000000" w:themeColor="text1"/>
          <w:sz w:val="28"/>
          <w:szCs w:val="28"/>
          <w:lang w:val="en-US"/>
        </w:rPr>
      </w:pPr>
    </w:p>
    <w:p w14:paraId="1BB83C13" w14:textId="75180DC7" w:rsidR="00825345" w:rsidRPr="00825345" w:rsidRDefault="00825345" w:rsidP="00825345">
      <w:pPr>
        <w:keepNext/>
        <w:keepLines/>
        <w:spacing w:before="240" w:after="0"/>
        <w:outlineLvl w:val="0"/>
        <w:rPr>
          <w:rFonts w:ascii="Calibri" w:eastAsia="Times New Roman" w:hAnsi="Calibri" w:cs="Calibri"/>
          <w:b/>
          <w:color w:val="000000" w:themeColor="text1"/>
          <w:sz w:val="28"/>
          <w:szCs w:val="28"/>
          <w:lang w:val="en-US"/>
        </w:rPr>
      </w:pPr>
      <w:r>
        <w:rPr>
          <w:rFonts w:ascii="Calibri" w:eastAsia="Times New Roman" w:hAnsi="Calibri" w:cs="Calibri"/>
          <w:b/>
          <w:color w:val="000000" w:themeColor="text1"/>
          <w:sz w:val="28"/>
          <w:szCs w:val="28"/>
          <w:lang w:val="en-US"/>
        </w:rPr>
        <w:lastRenderedPageBreak/>
        <w:t>I</w:t>
      </w:r>
      <w:r w:rsidRPr="00825345">
        <w:rPr>
          <w:rFonts w:ascii="Calibri" w:eastAsia="Times New Roman" w:hAnsi="Calibri" w:cs="Calibri"/>
          <w:b/>
          <w:color w:val="000000" w:themeColor="text1"/>
          <w:sz w:val="28"/>
          <w:szCs w:val="28"/>
          <w:lang w:val="en-US"/>
        </w:rPr>
        <w:t xml:space="preserve">mplementation of </w:t>
      </w:r>
      <w:proofErr w:type="gramStart"/>
      <w:r w:rsidRPr="00825345">
        <w:rPr>
          <w:rFonts w:ascii="Calibri" w:eastAsia="Times New Roman" w:hAnsi="Calibri" w:cs="Calibri"/>
          <w:b/>
          <w:color w:val="000000" w:themeColor="text1"/>
          <w:sz w:val="28"/>
          <w:szCs w:val="28"/>
          <w:lang w:val="en-US"/>
        </w:rPr>
        <w:t>a number of</w:t>
      </w:r>
      <w:proofErr w:type="gramEnd"/>
      <w:r w:rsidRPr="00825345">
        <w:rPr>
          <w:rFonts w:ascii="Calibri" w:eastAsia="Times New Roman" w:hAnsi="Calibri" w:cs="Calibri"/>
          <w:b/>
          <w:color w:val="000000" w:themeColor="text1"/>
          <w:sz w:val="28"/>
          <w:szCs w:val="28"/>
          <w:lang w:val="en-US"/>
        </w:rPr>
        <w:t xml:space="preserve"> financial instruments</w:t>
      </w:r>
    </w:p>
    <w:p w14:paraId="386D72D2" w14:textId="32D475CE" w:rsidR="00825345" w:rsidRPr="00825345" w:rsidRDefault="00825345" w:rsidP="00825345">
      <w:pPr>
        <w:keepNext/>
        <w:keepLines/>
        <w:spacing w:before="240" w:after="0"/>
        <w:outlineLvl w:val="0"/>
        <w:rPr>
          <w:rFonts w:ascii="Calibri" w:eastAsia="Times New Roman" w:hAnsi="Calibri" w:cs="Calibri"/>
          <w:bCs/>
          <w:color w:val="000000" w:themeColor="text1"/>
          <w:lang w:val="en-US"/>
        </w:rPr>
      </w:pPr>
      <w:r w:rsidRPr="00825345">
        <w:rPr>
          <w:rFonts w:ascii="Calibri" w:eastAsia="Times New Roman" w:hAnsi="Calibri" w:cs="Calibri"/>
          <w:bCs/>
          <w:color w:val="000000" w:themeColor="text1"/>
          <w:lang w:val="en-US"/>
        </w:rPr>
        <w:t xml:space="preserve">Greece has initiated the implementation of </w:t>
      </w:r>
      <w:proofErr w:type="gramStart"/>
      <w:r w:rsidRPr="00825345">
        <w:rPr>
          <w:rFonts w:ascii="Calibri" w:eastAsia="Times New Roman" w:hAnsi="Calibri" w:cs="Calibri"/>
          <w:bCs/>
          <w:color w:val="000000" w:themeColor="text1"/>
          <w:lang w:val="en-US"/>
        </w:rPr>
        <w:t>a number of</w:t>
      </w:r>
      <w:proofErr w:type="gramEnd"/>
      <w:r w:rsidRPr="00825345">
        <w:rPr>
          <w:rFonts w:ascii="Calibri" w:eastAsia="Times New Roman" w:hAnsi="Calibri" w:cs="Calibri"/>
          <w:bCs/>
          <w:color w:val="000000" w:themeColor="text1"/>
          <w:lang w:val="en-US"/>
        </w:rPr>
        <w:t xml:space="preserve"> financial instruments in order to achieve optimal use of available public resources with other available financial sources. The main </w:t>
      </w:r>
      <w:proofErr w:type="spellStart"/>
      <w:r w:rsidRPr="00825345">
        <w:rPr>
          <w:rFonts w:ascii="Calibri" w:eastAsia="Times New Roman" w:hAnsi="Calibri" w:cs="Calibri"/>
          <w:bCs/>
          <w:color w:val="000000" w:themeColor="text1"/>
          <w:lang w:val="en-US"/>
        </w:rPr>
        <w:t>programmes</w:t>
      </w:r>
      <w:proofErr w:type="spellEnd"/>
      <w:r w:rsidRPr="00825345">
        <w:rPr>
          <w:rFonts w:ascii="Calibri" w:eastAsia="Times New Roman" w:hAnsi="Calibri" w:cs="Calibri"/>
          <w:bCs/>
          <w:color w:val="000000" w:themeColor="text1"/>
          <w:lang w:val="en-US"/>
        </w:rPr>
        <w:t xml:space="preserve"> and instruments concerning SMEs, which contribute to growth by combining with public resources additional sources of finance. </w:t>
      </w:r>
    </w:p>
    <w:p w14:paraId="59DABE73" w14:textId="77777777" w:rsidR="00825345" w:rsidRPr="00825345" w:rsidRDefault="00825345" w:rsidP="00825345">
      <w:pPr>
        <w:keepNext/>
        <w:keepLines/>
        <w:spacing w:before="240" w:after="0"/>
        <w:outlineLvl w:val="0"/>
        <w:rPr>
          <w:rFonts w:ascii="Calibri" w:eastAsia="Times New Roman" w:hAnsi="Calibri" w:cs="Calibri"/>
          <w:bCs/>
          <w:color w:val="000000" w:themeColor="text1"/>
          <w:lang w:val="en-US"/>
        </w:rPr>
      </w:pPr>
      <w:proofErr w:type="spellStart"/>
      <w:r w:rsidRPr="00825345">
        <w:rPr>
          <w:rFonts w:ascii="Calibri" w:eastAsia="Times New Roman" w:hAnsi="Calibri" w:cs="Calibri"/>
          <w:b/>
          <w:color w:val="000000" w:themeColor="text1"/>
          <w:lang w:val="en-US"/>
        </w:rPr>
        <w:t>EquiFund</w:t>
      </w:r>
      <w:proofErr w:type="spellEnd"/>
      <w:r w:rsidRPr="00825345">
        <w:rPr>
          <w:rFonts w:ascii="Calibri" w:eastAsia="Times New Roman" w:hAnsi="Calibri" w:cs="Calibri"/>
          <w:b/>
          <w:color w:val="000000" w:themeColor="text1"/>
          <w:lang w:val="en-US"/>
        </w:rPr>
        <w:t>:</w:t>
      </w:r>
      <w:r w:rsidRPr="00825345">
        <w:rPr>
          <w:rFonts w:ascii="Calibri" w:eastAsia="Times New Roman" w:hAnsi="Calibri" w:cs="Calibri"/>
          <w:bCs/>
          <w:color w:val="000000" w:themeColor="text1"/>
          <w:lang w:val="en-US"/>
        </w:rPr>
        <w:t xml:space="preserve"> Provides capital in the form of Equity, Venture Capital, Seed Capital, etc. Financing: €200 million from European and national resources. European Investment Fund (EIB) and European Investment Bank (EIB) from the Juncker Plan, with a contribution of €60 million and around €40 million. Finally, private investors contribute with additional own resources. This brings the total funds available to businesses to close to €0.5 billion.</w:t>
      </w:r>
    </w:p>
    <w:p w14:paraId="37C92BA7" w14:textId="77777777" w:rsidR="00825345" w:rsidRPr="00825345" w:rsidRDefault="00825345" w:rsidP="00825345">
      <w:pPr>
        <w:keepNext/>
        <w:keepLines/>
        <w:spacing w:before="240" w:after="0"/>
        <w:outlineLvl w:val="0"/>
        <w:rPr>
          <w:rFonts w:ascii="Calibri" w:eastAsia="Times New Roman" w:hAnsi="Calibri" w:cs="Calibri"/>
          <w:bCs/>
          <w:color w:val="000000" w:themeColor="text1"/>
          <w:lang w:val="en-US"/>
        </w:rPr>
      </w:pPr>
      <w:r w:rsidRPr="00825345">
        <w:rPr>
          <w:rFonts w:ascii="Calibri" w:eastAsia="Times New Roman" w:hAnsi="Calibri" w:cs="Calibri"/>
          <w:b/>
          <w:color w:val="000000" w:themeColor="text1"/>
          <w:lang w:val="en-US"/>
        </w:rPr>
        <w:t>Risk Sharing and Guarantee Fund "Entrepreneurship Fund I and II":</w:t>
      </w:r>
      <w:r w:rsidRPr="00825345">
        <w:rPr>
          <w:rFonts w:ascii="Calibri" w:eastAsia="Times New Roman" w:hAnsi="Calibri" w:cs="Calibri"/>
          <w:bCs/>
          <w:color w:val="000000" w:themeColor="text1"/>
          <w:lang w:val="en-US"/>
        </w:rPr>
        <w:t xml:space="preserve"> it grants loans to SMEs by reducing the interest rate or guarantees required by banks. Funding: €400 million NSRF, €200 million of recycled funds from the corresponding instrument of the previous NSRF and an additional €600 million of bank funds (total: €1.2 billion) </w:t>
      </w:r>
    </w:p>
    <w:p w14:paraId="3B9C7265" w14:textId="77777777" w:rsidR="00825345" w:rsidRPr="00825345" w:rsidRDefault="00825345" w:rsidP="00825345">
      <w:pPr>
        <w:keepNext/>
        <w:keepLines/>
        <w:spacing w:before="240" w:after="0"/>
        <w:outlineLvl w:val="0"/>
        <w:rPr>
          <w:rFonts w:ascii="Calibri" w:eastAsia="Times New Roman" w:hAnsi="Calibri" w:cs="Calibri"/>
          <w:bCs/>
          <w:color w:val="000000" w:themeColor="text1"/>
          <w:lang w:val="en-US"/>
        </w:rPr>
      </w:pPr>
      <w:r w:rsidRPr="00825345">
        <w:rPr>
          <w:rFonts w:ascii="Calibri" w:eastAsia="Times New Roman" w:hAnsi="Calibri" w:cs="Calibri"/>
          <w:b/>
          <w:color w:val="000000" w:themeColor="text1"/>
          <w:lang w:val="en-US"/>
        </w:rPr>
        <w:t>EIB, Global Loan:</w:t>
      </w:r>
      <w:r w:rsidRPr="00825345">
        <w:rPr>
          <w:rFonts w:ascii="Calibri" w:eastAsia="Times New Roman" w:hAnsi="Calibri" w:cs="Calibri"/>
          <w:bCs/>
          <w:color w:val="000000" w:themeColor="text1"/>
          <w:lang w:val="en-US"/>
        </w:rPr>
        <w:t xml:space="preserve"> This is a liquidity guarantee from the European Investment Bank to the 4 systemic banks to provide loans exclusively to SMEs. EIB lending to the banks is backed by a guarantee from the Greek State. The total volume of capital to be </w:t>
      </w:r>
      <w:proofErr w:type="spellStart"/>
      <w:r w:rsidRPr="00825345">
        <w:rPr>
          <w:rFonts w:ascii="Calibri" w:eastAsia="Times New Roman" w:hAnsi="Calibri" w:cs="Calibri"/>
          <w:bCs/>
          <w:color w:val="000000" w:themeColor="text1"/>
          <w:lang w:val="en-US"/>
        </w:rPr>
        <w:t>channelled</w:t>
      </w:r>
      <w:proofErr w:type="spellEnd"/>
      <w:r w:rsidRPr="00825345">
        <w:rPr>
          <w:rFonts w:ascii="Calibri" w:eastAsia="Times New Roman" w:hAnsi="Calibri" w:cs="Calibri"/>
          <w:bCs/>
          <w:color w:val="000000" w:themeColor="text1"/>
          <w:lang w:val="en-US"/>
        </w:rPr>
        <w:t xml:space="preserve"> to enterprises is EUR 1 billion.</w:t>
      </w:r>
    </w:p>
    <w:p w14:paraId="1B8399A0" w14:textId="7AA348ED" w:rsidR="00825345" w:rsidRDefault="00825345" w:rsidP="00825345">
      <w:pPr>
        <w:keepNext/>
        <w:keepLines/>
        <w:spacing w:before="240" w:after="0"/>
        <w:outlineLvl w:val="0"/>
        <w:rPr>
          <w:rFonts w:ascii="Calibri" w:eastAsia="Times New Roman" w:hAnsi="Calibri" w:cs="Calibri"/>
          <w:bCs/>
          <w:color w:val="000000" w:themeColor="text1"/>
          <w:lang w:val="en-US"/>
        </w:rPr>
      </w:pPr>
      <w:r w:rsidRPr="00825345">
        <w:rPr>
          <w:rFonts w:ascii="Calibri" w:eastAsia="Times New Roman" w:hAnsi="Calibri" w:cs="Calibri"/>
          <w:b/>
          <w:color w:val="000000" w:themeColor="text1"/>
          <w:lang w:val="en-US"/>
        </w:rPr>
        <w:t>EIB Trade Finance Facility</w:t>
      </w:r>
      <w:r w:rsidRPr="00825345">
        <w:rPr>
          <w:rFonts w:ascii="Calibri" w:eastAsia="Times New Roman" w:hAnsi="Calibri" w:cs="Calibri"/>
          <w:bCs/>
          <w:color w:val="000000" w:themeColor="text1"/>
          <w:lang w:val="en-US"/>
        </w:rPr>
        <w:t xml:space="preserve">: This is the first EIB product of its kind and is available exclusively in Greece. Guarantees of €500 million are provided to foreign banks, covering 85% of the total risks of export activities of Greek SMEs. These are short-term financial instruments, with an average maturity of four months, so EIB financing can be revolving three times per year and can therefore support three times the volume of transactions, </w:t>
      </w:r>
      <w:proofErr w:type="gramStart"/>
      <w:r w:rsidRPr="00825345">
        <w:rPr>
          <w:rFonts w:ascii="Calibri" w:eastAsia="Times New Roman" w:hAnsi="Calibri" w:cs="Calibri"/>
          <w:bCs/>
          <w:color w:val="000000" w:themeColor="text1"/>
          <w:lang w:val="en-US"/>
        </w:rPr>
        <w:t>i.e.</w:t>
      </w:r>
      <w:proofErr w:type="gramEnd"/>
      <w:r w:rsidRPr="00825345">
        <w:rPr>
          <w:rFonts w:ascii="Calibri" w:eastAsia="Times New Roman" w:hAnsi="Calibri" w:cs="Calibri"/>
          <w:bCs/>
          <w:color w:val="000000" w:themeColor="text1"/>
          <w:lang w:val="en-US"/>
        </w:rPr>
        <w:t xml:space="preserve"> up to €1.5 billion per year. In this way, export activities are </w:t>
      </w:r>
      <w:proofErr w:type="gramStart"/>
      <w:r w:rsidRPr="00825345">
        <w:rPr>
          <w:rFonts w:ascii="Calibri" w:eastAsia="Times New Roman" w:hAnsi="Calibri" w:cs="Calibri"/>
          <w:bCs/>
          <w:color w:val="000000" w:themeColor="text1"/>
          <w:lang w:val="en-US"/>
        </w:rPr>
        <w:t>strengthened</w:t>
      </w:r>
      <w:proofErr w:type="gramEnd"/>
      <w:r w:rsidRPr="00825345">
        <w:rPr>
          <w:rFonts w:ascii="Calibri" w:eastAsia="Times New Roman" w:hAnsi="Calibri" w:cs="Calibri"/>
          <w:bCs/>
          <w:color w:val="000000" w:themeColor="text1"/>
          <w:lang w:val="en-US"/>
        </w:rPr>
        <w:t xml:space="preserve"> and Greek SMEs and mid-cap companies are supported.</w:t>
      </w:r>
    </w:p>
    <w:p w14:paraId="2AD1B6D7" w14:textId="77777777" w:rsidR="00825345" w:rsidRPr="00825345" w:rsidRDefault="00825345" w:rsidP="00825345">
      <w:pPr>
        <w:keepNext/>
        <w:keepLines/>
        <w:spacing w:before="240" w:after="0"/>
        <w:outlineLvl w:val="0"/>
        <w:rPr>
          <w:rFonts w:ascii="Calibri" w:eastAsia="Times New Roman" w:hAnsi="Calibri" w:cs="Calibri"/>
          <w:bCs/>
          <w:color w:val="000000" w:themeColor="text1"/>
          <w:lang w:val="en-US"/>
        </w:rPr>
      </w:pPr>
      <w:r w:rsidRPr="00825345">
        <w:rPr>
          <w:rFonts w:ascii="Calibri" w:eastAsia="Times New Roman" w:hAnsi="Calibri" w:cs="Calibri"/>
          <w:b/>
          <w:color w:val="000000" w:themeColor="text1"/>
          <w:lang w:val="en-US"/>
        </w:rPr>
        <w:t>Microfinance:</w:t>
      </w:r>
      <w:r w:rsidRPr="00825345">
        <w:rPr>
          <w:rFonts w:ascii="Calibri" w:eastAsia="Times New Roman" w:hAnsi="Calibri" w:cs="Calibri"/>
          <w:bCs/>
          <w:color w:val="000000" w:themeColor="text1"/>
          <w:lang w:val="en-US"/>
        </w:rPr>
        <w:t xml:space="preserve"> microcredit is provided to micro-enterprises, freelancers, individuals, SMEs, etc., which do not have access to the banking sector to raise capital, </w:t>
      </w:r>
      <w:proofErr w:type="gramStart"/>
      <w:r w:rsidRPr="00825345">
        <w:rPr>
          <w:rFonts w:ascii="Calibri" w:eastAsia="Times New Roman" w:hAnsi="Calibri" w:cs="Calibri"/>
          <w:bCs/>
          <w:color w:val="000000" w:themeColor="text1"/>
          <w:lang w:val="en-US"/>
        </w:rPr>
        <w:t>in order to</w:t>
      </w:r>
      <w:proofErr w:type="gramEnd"/>
      <w:r w:rsidRPr="00825345">
        <w:rPr>
          <w:rFonts w:ascii="Calibri" w:eastAsia="Times New Roman" w:hAnsi="Calibri" w:cs="Calibri"/>
          <w:bCs/>
          <w:color w:val="000000" w:themeColor="text1"/>
          <w:lang w:val="en-US"/>
        </w:rPr>
        <w:t xml:space="preserve"> implement their projects and ensure job creation, thus contributing to the increase of employment and the reduction of unemployment. The maximum loan amount that can be granted is € 25 thousand. </w:t>
      </w:r>
    </w:p>
    <w:p w14:paraId="4A6023E1" w14:textId="77777777" w:rsidR="00825345" w:rsidRPr="00825345" w:rsidRDefault="00825345" w:rsidP="00825345">
      <w:pPr>
        <w:keepNext/>
        <w:keepLines/>
        <w:spacing w:before="240" w:after="0"/>
        <w:outlineLvl w:val="0"/>
        <w:rPr>
          <w:rFonts w:ascii="Calibri" w:eastAsia="Times New Roman" w:hAnsi="Calibri" w:cs="Calibri"/>
          <w:bCs/>
          <w:color w:val="000000" w:themeColor="text1"/>
          <w:lang w:val="en-US"/>
        </w:rPr>
      </w:pPr>
      <w:r w:rsidRPr="00825345">
        <w:rPr>
          <w:rFonts w:ascii="Calibri" w:eastAsia="Times New Roman" w:hAnsi="Calibri" w:cs="Calibri"/>
          <w:bCs/>
          <w:color w:val="000000" w:themeColor="text1"/>
          <w:lang w:val="en-US"/>
        </w:rPr>
        <w:t xml:space="preserve">Many actions of the Operational </w:t>
      </w:r>
      <w:proofErr w:type="spellStart"/>
      <w:r w:rsidRPr="00825345">
        <w:rPr>
          <w:rFonts w:ascii="Calibri" w:eastAsia="Times New Roman" w:hAnsi="Calibri" w:cs="Calibri"/>
          <w:bCs/>
          <w:color w:val="000000" w:themeColor="text1"/>
          <w:lang w:val="en-US"/>
        </w:rPr>
        <w:t>Programme</w:t>
      </w:r>
      <w:proofErr w:type="spellEnd"/>
      <w:r w:rsidRPr="00825345">
        <w:rPr>
          <w:rFonts w:ascii="Calibri" w:eastAsia="Times New Roman" w:hAnsi="Calibri" w:cs="Calibri"/>
          <w:bCs/>
          <w:color w:val="000000" w:themeColor="text1"/>
          <w:lang w:val="en-US"/>
        </w:rPr>
        <w:t xml:space="preserve"> Competitiveness and Innovation of the NSRF 2014-2020 are also aimed at supporting SMEs. </w:t>
      </w:r>
      <w:proofErr w:type="gramStart"/>
      <w:r w:rsidRPr="00825345">
        <w:rPr>
          <w:rFonts w:ascii="Calibri" w:eastAsia="Times New Roman" w:hAnsi="Calibri" w:cs="Calibri"/>
          <w:bCs/>
          <w:color w:val="000000" w:themeColor="text1"/>
          <w:lang w:val="en-US"/>
        </w:rPr>
        <w:t>In particular, among</w:t>
      </w:r>
      <w:proofErr w:type="gramEnd"/>
      <w:r w:rsidRPr="00825345">
        <w:rPr>
          <w:rFonts w:ascii="Calibri" w:eastAsia="Times New Roman" w:hAnsi="Calibri" w:cs="Calibri"/>
          <w:bCs/>
          <w:color w:val="000000" w:themeColor="text1"/>
          <w:lang w:val="en-US"/>
        </w:rPr>
        <w:t xml:space="preserve"> the announced actions of the ERANEK (in the form of non-repayable grants), the following are worth mentioning:</w:t>
      </w:r>
    </w:p>
    <w:p w14:paraId="654D5D68" w14:textId="77777777" w:rsidR="00825345" w:rsidRPr="00825345" w:rsidRDefault="00825345" w:rsidP="00825345">
      <w:pPr>
        <w:keepNext/>
        <w:keepLines/>
        <w:spacing w:before="240" w:after="0"/>
        <w:outlineLvl w:val="0"/>
        <w:rPr>
          <w:rFonts w:ascii="Calibri" w:eastAsia="Times New Roman" w:hAnsi="Calibri" w:cs="Calibri"/>
          <w:bCs/>
          <w:color w:val="000000" w:themeColor="text1"/>
          <w:lang w:val="en-US"/>
        </w:rPr>
      </w:pPr>
      <w:r w:rsidRPr="00825345">
        <w:rPr>
          <w:rFonts w:ascii="Calibri" w:eastAsia="Times New Roman" w:hAnsi="Calibri" w:cs="Calibri"/>
          <w:b/>
          <w:color w:val="000000" w:themeColor="text1"/>
          <w:lang w:val="en-US"/>
        </w:rPr>
        <w:t>Start-up Entrepreneurship:</w:t>
      </w:r>
      <w:r w:rsidRPr="00825345">
        <w:rPr>
          <w:rFonts w:ascii="Calibri" w:eastAsia="Times New Roman" w:hAnsi="Calibri" w:cs="Calibri"/>
          <w:bCs/>
          <w:color w:val="000000" w:themeColor="text1"/>
          <w:lang w:val="en-US"/>
        </w:rPr>
        <w:t xml:space="preserve"> Based on the fifth (5th) amendment of the </w:t>
      </w:r>
      <w:proofErr w:type="spellStart"/>
      <w:r w:rsidRPr="00825345">
        <w:rPr>
          <w:rFonts w:ascii="Calibri" w:eastAsia="Times New Roman" w:hAnsi="Calibri" w:cs="Calibri"/>
          <w:bCs/>
          <w:color w:val="000000" w:themeColor="text1"/>
          <w:lang w:val="en-US"/>
        </w:rPr>
        <w:t>programme</w:t>
      </w:r>
      <w:proofErr w:type="spellEnd"/>
      <w:r w:rsidRPr="00825345">
        <w:rPr>
          <w:rFonts w:ascii="Calibri" w:eastAsia="Times New Roman" w:hAnsi="Calibri" w:cs="Calibri"/>
          <w:bCs/>
          <w:color w:val="000000" w:themeColor="text1"/>
          <w:lang w:val="en-US"/>
        </w:rPr>
        <w:t>, the budget of the Action amounts to EUR 116 million.</w:t>
      </w:r>
    </w:p>
    <w:p w14:paraId="6405437C" w14:textId="77777777" w:rsidR="00825345" w:rsidRPr="00825345" w:rsidRDefault="00825345" w:rsidP="00825345">
      <w:pPr>
        <w:keepNext/>
        <w:keepLines/>
        <w:spacing w:before="240" w:after="0"/>
        <w:outlineLvl w:val="0"/>
        <w:rPr>
          <w:rFonts w:ascii="Calibri" w:eastAsia="Times New Roman" w:hAnsi="Calibri" w:cs="Calibri"/>
          <w:bCs/>
          <w:color w:val="000000" w:themeColor="text1"/>
          <w:lang w:val="en-US"/>
        </w:rPr>
      </w:pPr>
      <w:r w:rsidRPr="00825345">
        <w:rPr>
          <w:rFonts w:ascii="Calibri" w:eastAsia="Times New Roman" w:hAnsi="Calibri" w:cs="Calibri"/>
          <w:bCs/>
          <w:color w:val="000000" w:themeColor="text1"/>
          <w:lang w:val="en-US"/>
        </w:rPr>
        <w:t xml:space="preserve">This is the fifth and last year's fifth framework </w:t>
      </w:r>
      <w:proofErr w:type="spellStart"/>
      <w:r w:rsidRPr="00825345">
        <w:rPr>
          <w:rFonts w:ascii="Calibri" w:eastAsia="Times New Roman" w:hAnsi="Calibri" w:cs="Calibri"/>
          <w:bCs/>
          <w:color w:val="000000" w:themeColor="text1"/>
          <w:lang w:val="en-US"/>
        </w:rPr>
        <w:t>programme</w:t>
      </w:r>
      <w:proofErr w:type="spellEnd"/>
      <w:r w:rsidRPr="00825345">
        <w:rPr>
          <w:rFonts w:ascii="Calibri" w:eastAsia="Times New Roman" w:hAnsi="Calibri" w:cs="Calibri"/>
          <w:bCs/>
          <w:color w:val="000000" w:themeColor="text1"/>
          <w:lang w:val="en-US"/>
        </w:rPr>
        <w:t xml:space="preserve">, which provides for the support of tourism SMEs for their </w:t>
      </w:r>
      <w:proofErr w:type="spellStart"/>
      <w:r w:rsidRPr="00825345">
        <w:rPr>
          <w:rFonts w:ascii="Calibri" w:eastAsia="Times New Roman" w:hAnsi="Calibri" w:cs="Calibri"/>
          <w:bCs/>
          <w:color w:val="000000" w:themeColor="text1"/>
          <w:lang w:val="en-US"/>
        </w:rPr>
        <w:t>modernisation</w:t>
      </w:r>
      <w:proofErr w:type="spellEnd"/>
      <w:r w:rsidRPr="00825345">
        <w:rPr>
          <w:rFonts w:ascii="Calibri" w:eastAsia="Times New Roman" w:hAnsi="Calibri" w:cs="Calibri"/>
          <w:bCs/>
          <w:color w:val="000000" w:themeColor="text1"/>
          <w:lang w:val="en-US"/>
        </w:rPr>
        <w:t xml:space="preserve"> and the upgrading of the quality of the services provided: Under the sixth (6th) amendment to the </w:t>
      </w:r>
      <w:proofErr w:type="spellStart"/>
      <w:r w:rsidRPr="00825345">
        <w:rPr>
          <w:rFonts w:ascii="Calibri" w:eastAsia="Times New Roman" w:hAnsi="Calibri" w:cs="Calibri"/>
          <w:bCs/>
          <w:color w:val="000000" w:themeColor="text1"/>
          <w:lang w:val="en-US"/>
        </w:rPr>
        <w:t>programme</w:t>
      </w:r>
      <w:proofErr w:type="spellEnd"/>
      <w:r w:rsidRPr="00825345">
        <w:rPr>
          <w:rFonts w:ascii="Calibri" w:eastAsia="Times New Roman" w:hAnsi="Calibri" w:cs="Calibri"/>
          <w:bCs/>
          <w:color w:val="000000" w:themeColor="text1"/>
          <w:lang w:val="en-US"/>
        </w:rPr>
        <w:t>, the budget for the action is EUR 110 million.</w:t>
      </w:r>
    </w:p>
    <w:p w14:paraId="38FACAAF" w14:textId="77777777" w:rsidR="00825345" w:rsidRPr="00825345" w:rsidRDefault="00825345" w:rsidP="00825345">
      <w:pPr>
        <w:keepNext/>
        <w:keepLines/>
        <w:spacing w:before="240" w:after="0"/>
        <w:outlineLvl w:val="0"/>
        <w:rPr>
          <w:rFonts w:ascii="Calibri" w:eastAsia="Times New Roman" w:hAnsi="Calibri" w:cs="Calibri"/>
          <w:bCs/>
          <w:color w:val="000000" w:themeColor="text1"/>
          <w:lang w:val="en-US"/>
        </w:rPr>
      </w:pPr>
      <w:r w:rsidRPr="00825345">
        <w:rPr>
          <w:rFonts w:ascii="Calibri" w:eastAsia="Times New Roman" w:hAnsi="Calibri" w:cs="Calibri"/>
          <w:b/>
          <w:color w:val="000000" w:themeColor="text1"/>
          <w:lang w:val="en-US"/>
        </w:rPr>
        <w:lastRenderedPageBreak/>
        <w:t>Upgrading of micro &amp; small enterprises to develop their capacities in new markets:</w:t>
      </w:r>
      <w:r w:rsidRPr="00825345">
        <w:rPr>
          <w:rFonts w:ascii="Calibri" w:eastAsia="Times New Roman" w:hAnsi="Calibri" w:cs="Calibri"/>
          <w:bCs/>
          <w:color w:val="000000" w:themeColor="text1"/>
          <w:lang w:val="en-US"/>
        </w:rPr>
        <w:t xml:space="preserve"> </w:t>
      </w:r>
      <w:proofErr w:type="gramStart"/>
      <w:r w:rsidRPr="00825345">
        <w:rPr>
          <w:rFonts w:ascii="Calibri" w:eastAsia="Times New Roman" w:hAnsi="Calibri" w:cs="Calibri"/>
          <w:bCs/>
          <w:color w:val="000000" w:themeColor="text1"/>
          <w:lang w:val="en-US"/>
        </w:rPr>
        <w:t>On the basis of</w:t>
      </w:r>
      <w:proofErr w:type="gramEnd"/>
      <w:r w:rsidRPr="00825345">
        <w:rPr>
          <w:rFonts w:ascii="Calibri" w:eastAsia="Times New Roman" w:hAnsi="Calibri" w:cs="Calibri"/>
          <w:bCs/>
          <w:color w:val="000000" w:themeColor="text1"/>
          <w:lang w:val="en-US"/>
        </w:rPr>
        <w:t xml:space="preserve"> the ninth (9th) amendment to the </w:t>
      </w:r>
      <w:proofErr w:type="spellStart"/>
      <w:r w:rsidRPr="00825345">
        <w:rPr>
          <w:rFonts w:ascii="Calibri" w:eastAsia="Times New Roman" w:hAnsi="Calibri" w:cs="Calibri"/>
          <w:bCs/>
          <w:color w:val="000000" w:themeColor="text1"/>
          <w:lang w:val="en-US"/>
        </w:rPr>
        <w:t>programme</w:t>
      </w:r>
      <w:proofErr w:type="spellEnd"/>
      <w:r w:rsidRPr="00825345">
        <w:rPr>
          <w:rFonts w:ascii="Calibri" w:eastAsia="Times New Roman" w:hAnsi="Calibri" w:cs="Calibri"/>
          <w:bCs/>
          <w:color w:val="000000" w:themeColor="text1"/>
          <w:lang w:val="en-US"/>
        </w:rPr>
        <w:t>, the budget for this action is EUR 310 million.</w:t>
      </w:r>
    </w:p>
    <w:p w14:paraId="083E5EDD" w14:textId="77777777" w:rsidR="00825345" w:rsidRPr="00825345" w:rsidRDefault="00825345" w:rsidP="00825345">
      <w:pPr>
        <w:keepNext/>
        <w:keepLines/>
        <w:spacing w:before="240" w:after="0"/>
        <w:outlineLvl w:val="0"/>
        <w:rPr>
          <w:rFonts w:ascii="Calibri" w:eastAsia="Times New Roman" w:hAnsi="Calibri" w:cs="Calibri"/>
          <w:bCs/>
          <w:color w:val="000000" w:themeColor="text1"/>
          <w:lang w:val="en-US"/>
        </w:rPr>
      </w:pPr>
      <w:r w:rsidRPr="00825345">
        <w:rPr>
          <w:rFonts w:ascii="Calibri" w:eastAsia="Times New Roman" w:hAnsi="Calibri" w:cs="Calibri"/>
          <w:b/>
          <w:color w:val="000000" w:themeColor="text1"/>
          <w:lang w:val="en-US"/>
        </w:rPr>
        <w:t>Action Business Outside - Support for the International Promotion of SMEs with an Outward Orientation:</w:t>
      </w:r>
      <w:r w:rsidRPr="00825345">
        <w:rPr>
          <w:rFonts w:ascii="Calibri" w:eastAsia="Times New Roman" w:hAnsi="Calibri" w:cs="Calibri"/>
          <w:bCs/>
          <w:color w:val="000000" w:themeColor="text1"/>
          <w:lang w:val="en-US"/>
        </w:rPr>
        <w:t xml:space="preserve"> (Start of Submissions 18.1.2018) The Action aims to promote the extroversion of Greek manufacturing enterprises that are already developing export activity, through their participation in trade fairs </w:t>
      </w:r>
      <w:proofErr w:type="spellStart"/>
      <w:r w:rsidRPr="00825345">
        <w:rPr>
          <w:rFonts w:ascii="Calibri" w:eastAsia="Times New Roman" w:hAnsi="Calibri" w:cs="Calibri"/>
          <w:bCs/>
          <w:color w:val="000000" w:themeColor="text1"/>
          <w:lang w:val="en-US"/>
        </w:rPr>
        <w:t>organised</w:t>
      </w:r>
      <w:proofErr w:type="spellEnd"/>
      <w:r w:rsidRPr="00825345">
        <w:rPr>
          <w:rFonts w:ascii="Calibri" w:eastAsia="Times New Roman" w:hAnsi="Calibri" w:cs="Calibri"/>
          <w:bCs/>
          <w:color w:val="000000" w:themeColor="text1"/>
          <w:lang w:val="en-US"/>
        </w:rPr>
        <w:t xml:space="preserve"> in the EU and in third countries. The budget of the Action is €50 million for all the regions of the country. This action is under direct evaluation and will remain open for applications until the available budget is exhausted and at the latest eighteen (18) months after its initial publication. </w:t>
      </w:r>
    </w:p>
    <w:p w14:paraId="5BC9FC1B" w14:textId="77777777" w:rsidR="00825345" w:rsidRPr="00825345" w:rsidRDefault="00825345" w:rsidP="00825345">
      <w:pPr>
        <w:keepNext/>
        <w:keepLines/>
        <w:spacing w:before="240" w:after="0"/>
        <w:outlineLvl w:val="0"/>
        <w:rPr>
          <w:rFonts w:ascii="Calibri" w:eastAsia="Times New Roman" w:hAnsi="Calibri" w:cs="Calibri"/>
          <w:bCs/>
          <w:color w:val="000000" w:themeColor="text1"/>
          <w:lang w:val="en-US"/>
        </w:rPr>
      </w:pPr>
      <w:r w:rsidRPr="00825345">
        <w:rPr>
          <w:rFonts w:ascii="Calibri" w:eastAsia="Times New Roman" w:hAnsi="Calibri" w:cs="Calibri"/>
          <w:b/>
          <w:color w:val="000000" w:themeColor="text1"/>
          <w:lang w:val="en-US"/>
        </w:rPr>
        <w:t>Aid for the creation and operation of new tourism SMEs</w:t>
      </w:r>
      <w:r w:rsidRPr="00825345">
        <w:rPr>
          <w:rFonts w:ascii="Calibri" w:eastAsia="Times New Roman" w:hAnsi="Calibri" w:cs="Calibri"/>
          <w:bCs/>
          <w:color w:val="000000" w:themeColor="text1"/>
          <w:lang w:val="en-US"/>
        </w:rPr>
        <w:t>: The aim of this measure is to promote entrepreneurship in the tourism sector through the creation of new tourism businesses. The budget of the Action is € 120 million for all the regions of the country.</w:t>
      </w:r>
    </w:p>
    <w:p w14:paraId="6ED97E02" w14:textId="77777777" w:rsidR="00825345" w:rsidRPr="00825345" w:rsidRDefault="00825345" w:rsidP="00825345">
      <w:pPr>
        <w:keepNext/>
        <w:keepLines/>
        <w:spacing w:before="240" w:after="0"/>
        <w:outlineLvl w:val="0"/>
        <w:rPr>
          <w:rFonts w:ascii="Calibri" w:eastAsia="Times New Roman" w:hAnsi="Calibri" w:cs="Calibri"/>
          <w:bCs/>
          <w:color w:val="000000" w:themeColor="text1"/>
          <w:lang w:val="en-US"/>
        </w:rPr>
      </w:pPr>
      <w:r w:rsidRPr="00825345">
        <w:rPr>
          <w:rFonts w:ascii="Calibri" w:eastAsia="Times New Roman" w:hAnsi="Calibri" w:cs="Calibri"/>
          <w:bCs/>
          <w:color w:val="000000" w:themeColor="text1"/>
          <w:lang w:val="en-US"/>
        </w:rPr>
        <w:t>As regards the forthcoming actions for SMEs, the following actions are expected in the coming period:</w:t>
      </w:r>
    </w:p>
    <w:p w14:paraId="28C409A4" w14:textId="77777777" w:rsidR="00825345" w:rsidRPr="00825345" w:rsidRDefault="00825345" w:rsidP="00825345">
      <w:pPr>
        <w:keepNext/>
        <w:keepLines/>
        <w:spacing w:before="240" w:after="0"/>
        <w:outlineLvl w:val="0"/>
        <w:rPr>
          <w:rFonts w:ascii="Calibri" w:eastAsia="Times New Roman" w:hAnsi="Calibri" w:cs="Calibri"/>
          <w:bCs/>
          <w:color w:val="000000" w:themeColor="text1"/>
          <w:lang w:val="en-US"/>
        </w:rPr>
      </w:pPr>
      <w:r w:rsidRPr="00825345">
        <w:rPr>
          <w:rFonts w:ascii="Calibri" w:eastAsia="Times New Roman" w:hAnsi="Calibri" w:cs="Calibri"/>
          <w:b/>
          <w:color w:val="000000" w:themeColor="text1"/>
          <w:lang w:val="en-US"/>
        </w:rPr>
        <w:t>Digital Jump:</w:t>
      </w:r>
      <w:r w:rsidRPr="00825345">
        <w:rPr>
          <w:rFonts w:ascii="Calibri" w:eastAsia="Times New Roman" w:hAnsi="Calibri" w:cs="Calibri"/>
          <w:bCs/>
          <w:color w:val="000000" w:themeColor="text1"/>
          <w:lang w:val="en-US"/>
        </w:rPr>
        <w:t xml:space="preserve"> The Action aims to strengthen the digital upgrading of enterprises in our country and </w:t>
      </w:r>
      <w:proofErr w:type="gramStart"/>
      <w:r w:rsidRPr="00825345">
        <w:rPr>
          <w:rFonts w:ascii="Calibri" w:eastAsia="Times New Roman" w:hAnsi="Calibri" w:cs="Calibri"/>
          <w:bCs/>
          <w:color w:val="000000" w:themeColor="text1"/>
          <w:lang w:val="en-US"/>
        </w:rPr>
        <w:t>in particular with</w:t>
      </w:r>
      <w:proofErr w:type="gramEnd"/>
      <w:r w:rsidRPr="00825345">
        <w:rPr>
          <w:rFonts w:ascii="Calibri" w:eastAsia="Times New Roman" w:hAnsi="Calibri" w:cs="Calibri"/>
          <w:bCs/>
          <w:color w:val="000000" w:themeColor="text1"/>
          <w:lang w:val="en-US"/>
        </w:rPr>
        <w:t xml:space="preserve"> a focus on the digital transformation of medium, small and micro enterprises. Total IDA of the action: € 50 million.</w:t>
      </w:r>
    </w:p>
    <w:p w14:paraId="6531B7B0" w14:textId="6BA67AD2" w:rsidR="00825345" w:rsidRDefault="00825345" w:rsidP="00825345">
      <w:pPr>
        <w:keepNext/>
        <w:keepLines/>
        <w:spacing w:before="240" w:after="0"/>
        <w:outlineLvl w:val="0"/>
        <w:rPr>
          <w:rFonts w:ascii="Calibri" w:eastAsia="Times New Roman" w:hAnsi="Calibri" w:cs="Calibri"/>
          <w:bCs/>
          <w:color w:val="000000" w:themeColor="text1"/>
          <w:lang w:val="en-US"/>
        </w:rPr>
      </w:pPr>
      <w:r w:rsidRPr="00825345">
        <w:rPr>
          <w:rFonts w:ascii="Calibri" w:eastAsia="Times New Roman" w:hAnsi="Calibri" w:cs="Calibri"/>
          <w:b/>
          <w:color w:val="000000" w:themeColor="text1"/>
          <w:lang w:val="en-US"/>
        </w:rPr>
        <w:t>Digital Step:</w:t>
      </w:r>
      <w:r w:rsidRPr="00825345">
        <w:rPr>
          <w:rFonts w:ascii="Calibri" w:eastAsia="Times New Roman" w:hAnsi="Calibri" w:cs="Calibri"/>
          <w:bCs/>
          <w:color w:val="000000" w:themeColor="text1"/>
          <w:lang w:val="en-US"/>
        </w:rPr>
        <w:t xml:space="preserve"> The Action aims to strengthen the digital upgrading of enterprises in our country and indeed with a focus on the digital transformation of medium, </w:t>
      </w:r>
      <w:proofErr w:type="gramStart"/>
      <w:r w:rsidRPr="00825345">
        <w:rPr>
          <w:rFonts w:ascii="Calibri" w:eastAsia="Times New Roman" w:hAnsi="Calibri" w:cs="Calibri"/>
          <w:bCs/>
          <w:color w:val="000000" w:themeColor="text1"/>
          <w:lang w:val="en-US"/>
        </w:rPr>
        <w:t>small</w:t>
      </w:r>
      <w:proofErr w:type="gramEnd"/>
      <w:r w:rsidRPr="00825345">
        <w:rPr>
          <w:rFonts w:ascii="Calibri" w:eastAsia="Times New Roman" w:hAnsi="Calibri" w:cs="Calibri"/>
          <w:bCs/>
          <w:color w:val="000000" w:themeColor="text1"/>
          <w:lang w:val="en-US"/>
        </w:rPr>
        <w:t xml:space="preserve"> and micro enterprises. Total IDA of the action: €50 million.</w:t>
      </w:r>
    </w:p>
    <w:p w14:paraId="3FF55DB8" w14:textId="77777777" w:rsidR="00825345" w:rsidRPr="00825345" w:rsidRDefault="00825345" w:rsidP="00825345">
      <w:pPr>
        <w:keepNext/>
        <w:keepLines/>
        <w:spacing w:before="240" w:after="0"/>
        <w:outlineLvl w:val="0"/>
        <w:rPr>
          <w:rFonts w:ascii="Calibri" w:eastAsia="Times New Roman" w:hAnsi="Calibri" w:cs="Calibri"/>
          <w:bCs/>
          <w:color w:val="000000" w:themeColor="text1"/>
          <w:lang w:val="en-US"/>
        </w:rPr>
      </w:pPr>
      <w:r w:rsidRPr="00825345">
        <w:rPr>
          <w:rFonts w:ascii="Calibri" w:eastAsia="Times New Roman" w:hAnsi="Calibri" w:cs="Calibri"/>
          <w:b/>
          <w:color w:val="000000" w:themeColor="text1"/>
          <w:lang w:val="en-US"/>
        </w:rPr>
        <w:t xml:space="preserve">Qualitative </w:t>
      </w:r>
      <w:proofErr w:type="spellStart"/>
      <w:r w:rsidRPr="00825345">
        <w:rPr>
          <w:rFonts w:ascii="Calibri" w:eastAsia="Times New Roman" w:hAnsi="Calibri" w:cs="Calibri"/>
          <w:b/>
          <w:color w:val="000000" w:themeColor="text1"/>
          <w:lang w:val="en-US"/>
        </w:rPr>
        <w:t>Modernisation</w:t>
      </w:r>
      <w:proofErr w:type="spellEnd"/>
      <w:r w:rsidRPr="00825345">
        <w:rPr>
          <w:rFonts w:ascii="Calibri" w:eastAsia="Times New Roman" w:hAnsi="Calibri" w:cs="Calibri"/>
          <w:b/>
          <w:color w:val="000000" w:themeColor="text1"/>
          <w:lang w:val="en-US"/>
        </w:rPr>
        <w:t>:</w:t>
      </w:r>
      <w:r w:rsidRPr="00825345">
        <w:rPr>
          <w:rFonts w:ascii="Calibri" w:eastAsia="Times New Roman" w:hAnsi="Calibri" w:cs="Calibri"/>
          <w:bCs/>
          <w:color w:val="000000" w:themeColor="text1"/>
          <w:lang w:val="en-US"/>
        </w:rPr>
        <w:t xml:space="preserve"> this action aims to support medium-sized enterprises in the nine (9) priority sectors of the NRDP (agri-food, energy, energy, supply chain, cultural and creative industries, tourism, environment, </w:t>
      </w:r>
      <w:proofErr w:type="gramStart"/>
      <w:r w:rsidRPr="00825345">
        <w:rPr>
          <w:rFonts w:ascii="Calibri" w:eastAsia="Times New Roman" w:hAnsi="Calibri" w:cs="Calibri"/>
          <w:bCs/>
          <w:color w:val="000000" w:themeColor="text1"/>
          <w:lang w:val="en-US"/>
        </w:rPr>
        <w:t>information</w:t>
      </w:r>
      <w:proofErr w:type="gramEnd"/>
      <w:r w:rsidRPr="00825345">
        <w:rPr>
          <w:rFonts w:ascii="Calibri" w:eastAsia="Times New Roman" w:hAnsi="Calibri" w:cs="Calibri"/>
          <w:bCs/>
          <w:color w:val="000000" w:themeColor="text1"/>
          <w:lang w:val="en-US"/>
        </w:rPr>
        <w:t xml:space="preserve"> and communication technologies (ICT), health, materials and construction) in order to improve their competitive position by investing in their technological </w:t>
      </w:r>
      <w:proofErr w:type="spellStart"/>
      <w:r w:rsidRPr="00825345">
        <w:rPr>
          <w:rFonts w:ascii="Calibri" w:eastAsia="Times New Roman" w:hAnsi="Calibri" w:cs="Calibri"/>
          <w:bCs/>
          <w:color w:val="000000" w:themeColor="text1"/>
          <w:lang w:val="en-US"/>
        </w:rPr>
        <w:t>modernisation</w:t>
      </w:r>
      <w:proofErr w:type="spellEnd"/>
      <w:r w:rsidRPr="00825345">
        <w:rPr>
          <w:rFonts w:ascii="Calibri" w:eastAsia="Times New Roman" w:hAnsi="Calibri" w:cs="Calibri"/>
          <w:bCs/>
          <w:color w:val="000000" w:themeColor="text1"/>
          <w:lang w:val="en-US"/>
        </w:rPr>
        <w:t>. Total IDA of the action: €120 million.</w:t>
      </w:r>
    </w:p>
    <w:p w14:paraId="43192340" w14:textId="77777777" w:rsidR="00825345" w:rsidRPr="00825345" w:rsidRDefault="00825345" w:rsidP="00825345">
      <w:pPr>
        <w:keepNext/>
        <w:keepLines/>
        <w:spacing w:before="240" w:after="0"/>
        <w:outlineLvl w:val="0"/>
        <w:rPr>
          <w:rFonts w:ascii="Calibri" w:eastAsia="Times New Roman" w:hAnsi="Calibri" w:cs="Calibri"/>
          <w:bCs/>
          <w:color w:val="000000" w:themeColor="text1"/>
          <w:lang w:val="en-US"/>
        </w:rPr>
      </w:pPr>
      <w:r w:rsidRPr="00825345">
        <w:rPr>
          <w:rFonts w:ascii="Calibri" w:eastAsia="Times New Roman" w:hAnsi="Calibri" w:cs="Calibri"/>
          <w:b/>
          <w:color w:val="000000" w:themeColor="text1"/>
          <w:lang w:val="en-US"/>
        </w:rPr>
        <w:t>Upgrading of existing micro, small and medium-sized enterprises in the service sector (retail, catering, private education):</w:t>
      </w:r>
      <w:r w:rsidRPr="00825345">
        <w:rPr>
          <w:rFonts w:ascii="Calibri" w:eastAsia="Times New Roman" w:hAnsi="Calibri" w:cs="Calibri"/>
          <w:bCs/>
          <w:color w:val="000000" w:themeColor="text1"/>
          <w:lang w:val="en-US"/>
        </w:rPr>
        <w:t xml:space="preserve"> The action concerns the upgrading of existing micro, small and medium-sized enterprises in the service sector (retail, catering, private education) around the four categories of interventions: (a) Interventions to save energy; (b) Interventions to integrate information and communication technologies into the service provided; (c) Interventions to improve the hygiene and safety of premises; (d) Interventions to strengthen the supply chain. Total IDA of the action: € 50 million.</w:t>
      </w:r>
    </w:p>
    <w:p w14:paraId="366A2C10" w14:textId="77777777" w:rsidR="00825345" w:rsidRPr="00825345" w:rsidRDefault="00825345" w:rsidP="00825345">
      <w:pPr>
        <w:keepNext/>
        <w:keepLines/>
        <w:spacing w:before="240" w:after="0"/>
        <w:outlineLvl w:val="0"/>
        <w:rPr>
          <w:rFonts w:ascii="Calibri" w:eastAsia="Times New Roman" w:hAnsi="Calibri" w:cs="Calibri"/>
          <w:bCs/>
          <w:color w:val="000000" w:themeColor="text1"/>
          <w:lang w:val="en-US"/>
        </w:rPr>
      </w:pPr>
      <w:r w:rsidRPr="00825345">
        <w:rPr>
          <w:rFonts w:ascii="Calibri" w:eastAsia="Times New Roman" w:hAnsi="Calibri" w:cs="Calibri"/>
          <w:b/>
          <w:color w:val="000000" w:themeColor="text1"/>
          <w:lang w:val="en-US"/>
        </w:rPr>
        <w:t>Green growth is inextricably linked to green entrepreneurship.</w:t>
      </w:r>
      <w:r w:rsidRPr="00825345">
        <w:rPr>
          <w:rFonts w:ascii="Calibri" w:eastAsia="Times New Roman" w:hAnsi="Calibri" w:cs="Calibri"/>
          <w:bCs/>
          <w:color w:val="000000" w:themeColor="text1"/>
          <w:lang w:val="en-US"/>
        </w:rPr>
        <w:t xml:space="preserve"> This term refers to economic development that puts the protection of the environment and nature at the heart of its strategy. Green entrepreneurship in shipping consists of a positive attitude of the company and its assumption of responsibility towards environmental protection, both in terms of the products or services it </w:t>
      </w:r>
      <w:proofErr w:type="gramStart"/>
      <w:r w:rsidRPr="00825345">
        <w:rPr>
          <w:rFonts w:ascii="Calibri" w:eastAsia="Times New Roman" w:hAnsi="Calibri" w:cs="Calibri"/>
          <w:bCs/>
          <w:color w:val="000000" w:themeColor="text1"/>
          <w:lang w:val="en-US"/>
        </w:rPr>
        <w:t>produces</w:t>
      </w:r>
      <w:proofErr w:type="gramEnd"/>
      <w:r w:rsidRPr="00825345">
        <w:rPr>
          <w:rFonts w:ascii="Calibri" w:eastAsia="Times New Roman" w:hAnsi="Calibri" w:cs="Calibri"/>
          <w:bCs/>
          <w:color w:val="000000" w:themeColor="text1"/>
          <w:lang w:val="en-US"/>
        </w:rPr>
        <w:t xml:space="preserve"> and the production processes it adopts. In Greece, the concept of 'green' development is quite new, so that the actions taken in this direction are few and far between.</w:t>
      </w:r>
    </w:p>
    <w:p w14:paraId="6CC2B177" w14:textId="2229252D" w:rsidR="00825345" w:rsidRPr="001E344E" w:rsidRDefault="00825345" w:rsidP="00825345">
      <w:pPr>
        <w:keepNext/>
        <w:keepLines/>
        <w:spacing w:before="240" w:after="0"/>
        <w:outlineLvl w:val="0"/>
        <w:rPr>
          <w:rFonts w:ascii="Calibri" w:eastAsia="Times New Roman" w:hAnsi="Calibri" w:cs="Calibri"/>
          <w:bCs/>
          <w:color w:val="000000" w:themeColor="text1"/>
          <w:lang w:val="en-US"/>
        </w:rPr>
      </w:pPr>
      <w:r w:rsidRPr="00825345">
        <w:rPr>
          <w:rFonts w:ascii="Calibri" w:eastAsia="Times New Roman" w:hAnsi="Calibri" w:cs="Calibri"/>
          <w:bCs/>
          <w:color w:val="000000" w:themeColor="text1"/>
          <w:lang w:val="en-US"/>
        </w:rPr>
        <w:lastRenderedPageBreak/>
        <w:t xml:space="preserve">It is undeniable that the Greek companies that are active in the production of 'green' technological equipment and follow international environmental policies are mainly small and medium-sized enterprises. In Greece there are </w:t>
      </w:r>
      <w:proofErr w:type="gramStart"/>
      <w:r w:rsidRPr="00825345">
        <w:rPr>
          <w:rFonts w:ascii="Calibri" w:eastAsia="Times New Roman" w:hAnsi="Calibri" w:cs="Calibri"/>
          <w:bCs/>
          <w:color w:val="000000" w:themeColor="text1"/>
          <w:lang w:val="en-US"/>
        </w:rPr>
        <w:t>a number of</w:t>
      </w:r>
      <w:proofErr w:type="gramEnd"/>
      <w:r w:rsidRPr="00825345">
        <w:rPr>
          <w:rFonts w:ascii="Calibri" w:eastAsia="Times New Roman" w:hAnsi="Calibri" w:cs="Calibri"/>
          <w:bCs/>
          <w:color w:val="000000" w:themeColor="text1"/>
          <w:lang w:val="en-US"/>
        </w:rPr>
        <w:t xml:space="preserve"> </w:t>
      </w:r>
      <w:proofErr w:type="spellStart"/>
      <w:r w:rsidRPr="00825345">
        <w:rPr>
          <w:rFonts w:ascii="Calibri" w:eastAsia="Times New Roman" w:hAnsi="Calibri" w:cs="Calibri"/>
          <w:bCs/>
          <w:color w:val="000000" w:themeColor="text1"/>
          <w:lang w:val="en-US"/>
        </w:rPr>
        <w:t>programmes</w:t>
      </w:r>
      <w:proofErr w:type="spellEnd"/>
      <w:r w:rsidRPr="00825345">
        <w:rPr>
          <w:rFonts w:ascii="Calibri" w:eastAsia="Times New Roman" w:hAnsi="Calibri" w:cs="Calibri"/>
          <w:bCs/>
          <w:color w:val="000000" w:themeColor="text1"/>
          <w:lang w:val="en-US"/>
        </w:rPr>
        <w:t xml:space="preserve"> that finance 'green' interventions by SMEs operating in the manufacturing, shipbuilding, tourism, service and trade sectors.</w:t>
      </w:r>
    </w:p>
    <w:p w14:paraId="04CE3780" w14:textId="77777777" w:rsidR="006A4EC4" w:rsidRPr="006A4EC4" w:rsidRDefault="006A4EC4" w:rsidP="006A4EC4">
      <w:pPr>
        <w:spacing w:after="0" w:line="240" w:lineRule="auto"/>
        <w:rPr>
          <w:rFonts w:ascii="Calibri" w:eastAsia="Calibri" w:hAnsi="Calibri" w:cs="Times New Roman"/>
        </w:rPr>
      </w:pPr>
    </w:p>
    <w:p w14:paraId="5B4F21E8" w14:textId="77777777" w:rsidR="006A4EC4" w:rsidRPr="006A4EC4" w:rsidRDefault="006A4EC4" w:rsidP="006A4EC4">
      <w:pPr>
        <w:spacing w:after="0" w:line="240" w:lineRule="auto"/>
        <w:rPr>
          <w:rFonts w:ascii="Calibri" w:eastAsia="Calibri" w:hAnsi="Calibri" w:cs="Times New Roman"/>
        </w:rPr>
      </w:pPr>
    </w:p>
    <w:p w14:paraId="00151265" w14:textId="77777777" w:rsidR="00AC230D" w:rsidRDefault="00AC230D" w:rsidP="00AC230D">
      <w:pPr>
        <w:rPr>
          <w:rFonts w:ascii="Calibri" w:eastAsia="Calibri" w:hAnsi="Calibri" w:cs="Times New Roman"/>
        </w:rPr>
      </w:pPr>
    </w:p>
    <w:p w14:paraId="700B5596" w14:textId="77777777" w:rsidR="00AC230D" w:rsidRPr="00AC230D" w:rsidRDefault="00AC230D" w:rsidP="00AC230D">
      <w:pPr>
        <w:rPr>
          <w:rFonts w:ascii="Calibri" w:eastAsia="Calibri" w:hAnsi="Calibri" w:cs="Times New Roman"/>
        </w:rPr>
      </w:pPr>
    </w:p>
    <w:p w14:paraId="05D4B2BA" w14:textId="7D7CE572" w:rsidR="006A4EC4" w:rsidRPr="006A4EC4" w:rsidRDefault="006A4EC4" w:rsidP="00AC230D">
      <w:pPr>
        <w:rPr>
          <w:rFonts w:ascii="Calibri" w:eastAsia="Times New Roman" w:hAnsi="Calibri" w:cs="Calibri"/>
          <w:b/>
          <w:color w:val="0070C0"/>
          <w:sz w:val="26"/>
          <w:szCs w:val="26"/>
        </w:rPr>
      </w:pPr>
      <w:r w:rsidRPr="006A4EC4">
        <w:rPr>
          <w:rFonts w:ascii="Calibri" w:eastAsia="Calibri" w:hAnsi="Calibri" w:cs="Times New Roman"/>
        </w:rPr>
        <w:br w:type="page"/>
      </w:r>
    </w:p>
    <w:p w14:paraId="48A4EC98" w14:textId="5F780B3A" w:rsidR="006A4EC4" w:rsidRPr="006A4EC4" w:rsidRDefault="006A4EC4" w:rsidP="006A4EC4">
      <w:pPr>
        <w:keepNext/>
        <w:keepLines/>
        <w:spacing w:before="240" w:after="0"/>
        <w:outlineLvl w:val="0"/>
        <w:rPr>
          <w:rFonts w:ascii="Calibri" w:eastAsia="Times New Roman" w:hAnsi="Calibri" w:cs="Calibri"/>
          <w:b/>
          <w:color w:val="538135"/>
          <w:sz w:val="26"/>
          <w:szCs w:val="26"/>
        </w:rPr>
      </w:pPr>
      <w:bookmarkStart w:id="2" w:name="_Toc118913359"/>
      <w:r w:rsidRPr="006A4EC4">
        <w:rPr>
          <w:rFonts w:ascii="Calibri" w:eastAsia="Times New Roman" w:hAnsi="Calibri" w:cs="Calibri"/>
          <w:b/>
          <w:color w:val="538135"/>
          <w:sz w:val="26"/>
          <w:szCs w:val="26"/>
        </w:rPr>
        <w:lastRenderedPageBreak/>
        <w:t xml:space="preserve">Smes and Entrepreneurship Ecosystem in </w:t>
      </w:r>
      <w:bookmarkEnd w:id="2"/>
      <w:r w:rsidR="00332B86">
        <w:rPr>
          <w:rFonts w:ascii="Calibri" w:eastAsia="Times New Roman" w:hAnsi="Calibri" w:cs="Calibri"/>
          <w:b/>
          <w:color w:val="538135"/>
          <w:sz w:val="26"/>
          <w:szCs w:val="26"/>
        </w:rPr>
        <w:t>GREECE</w:t>
      </w:r>
    </w:p>
    <w:p w14:paraId="7A154C58" w14:textId="77777777" w:rsidR="006A4EC4" w:rsidRPr="006A4EC4" w:rsidRDefault="006A4EC4" w:rsidP="006A4EC4">
      <w:pPr>
        <w:spacing w:after="0" w:line="240" w:lineRule="auto"/>
        <w:rPr>
          <w:rFonts w:ascii="Calibri" w:eastAsia="Calibri" w:hAnsi="Calibri" w:cs="Times New Roman"/>
        </w:rPr>
      </w:pPr>
    </w:p>
    <w:p w14:paraId="40D4AB3B" w14:textId="77777777" w:rsidR="00013996" w:rsidRPr="00013996" w:rsidRDefault="00013996" w:rsidP="00013996">
      <w:pPr>
        <w:spacing w:after="0" w:line="240" w:lineRule="auto"/>
        <w:rPr>
          <w:rFonts w:ascii="Calibri" w:eastAsia="Calibri" w:hAnsi="Calibri" w:cs="Times New Roman"/>
          <w:b/>
          <w:bCs/>
          <w:sz w:val="28"/>
          <w:szCs w:val="28"/>
        </w:rPr>
      </w:pPr>
      <w:r w:rsidRPr="00013996">
        <w:rPr>
          <w:rFonts w:ascii="Calibri" w:eastAsia="Calibri" w:hAnsi="Calibri" w:cs="Times New Roman"/>
          <w:b/>
          <w:bCs/>
          <w:sz w:val="28"/>
          <w:szCs w:val="28"/>
        </w:rPr>
        <w:t>Vocational Education and Training in Greece</w:t>
      </w:r>
    </w:p>
    <w:p w14:paraId="2657E9F9" w14:textId="77777777" w:rsidR="00013996" w:rsidRDefault="00013996" w:rsidP="00013996">
      <w:pPr>
        <w:spacing w:after="0" w:line="240" w:lineRule="auto"/>
        <w:rPr>
          <w:rFonts w:ascii="Calibri" w:eastAsia="Calibri" w:hAnsi="Calibri" w:cs="Times New Roman"/>
        </w:rPr>
      </w:pPr>
    </w:p>
    <w:p w14:paraId="421DA764" w14:textId="77777777" w:rsidR="00013996" w:rsidRDefault="00013996" w:rsidP="00013996">
      <w:pPr>
        <w:spacing w:after="0" w:line="240" w:lineRule="auto"/>
        <w:rPr>
          <w:rFonts w:ascii="Calibri" w:eastAsia="Calibri" w:hAnsi="Calibri" w:cs="Times New Roman"/>
        </w:rPr>
      </w:pPr>
      <w:r w:rsidRPr="00013996">
        <w:rPr>
          <w:rFonts w:ascii="Calibri" w:eastAsia="Calibri" w:hAnsi="Calibri" w:cs="Times New Roman"/>
        </w:rPr>
        <w:t xml:space="preserve">In Greece, Vocational Education and Training includes the Vocational Lyceums (EPAL), the Vocational Apprenticeship Schools of the OAED (EPAS), the Vocational Schools of the Ministry of Rural Development and Food (also EPAS), but also other structures such as the Post-secondary Years - Apprenticeship Classes and the IEK. </w:t>
      </w:r>
    </w:p>
    <w:p w14:paraId="39B9CAA7" w14:textId="15B7AABC" w:rsidR="00013996" w:rsidRPr="00013996" w:rsidRDefault="00013996" w:rsidP="00013996">
      <w:pPr>
        <w:spacing w:after="0" w:line="240" w:lineRule="auto"/>
        <w:rPr>
          <w:rFonts w:ascii="Calibri" w:eastAsia="Calibri" w:hAnsi="Calibri" w:cs="Times New Roman"/>
        </w:rPr>
      </w:pPr>
      <w:r w:rsidRPr="00013996">
        <w:rPr>
          <w:rFonts w:ascii="Calibri" w:eastAsia="Calibri" w:hAnsi="Calibri" w:cs="Times New Roman"/>
        </w:rPr>
        <w:t>From 2020 the "National System of Vocational Education and Training" defines and describes all structures offering VET in Greece. In the school year 2020-2021, 116,704 students attended VET structures in secondary education.</w:t>
      </w:r>
    </w:p>
    <w:p w14:paraId="27A048CE" w14:textId="77777777" w:rsidR="00013996" w:rsidRPr="00013996" w:rsidRDefault="00013996" w:rsidP="00013996">
      <w:pPr>
        <w:spacing w:after="0" w:line="240" w:lineRule="auto"/>
        <w:rPr>
          <w:rFonts w:ascii="Calibri" w:eastAsia="Calibri" w:hAnsi="Calibri" w:cs="Times New Roman"/>
        </w:rPr>
      </w:pPr>
      <w:r w:rsidRPr="00013996">
        <w:rPr>
          <w:rFonts w:ascii="Calibri" w:eastAsia="Calibri" w:hAnsi="Calibri" w:cs="Times New Roman"/>
        </w:rPr>
        <w:t>There are currently 408 Vocational Lyceums in Greece (with 108,244 students). Children there receive general education, but are also trained in 35 specialisations, from 'construction technicians' and 'silversmiths' to 'merchant navy masters' and 'dental technician assistants'. The specialisations are mainly derived from the availability of corresponding teachers, and have remained more or less stable over time. Although in general the system works, and although initiatives have been taken in recent years to radically improve them.</w:t>
      </w:r>
    </w:p>
    <w:p w14:paraId="4B15BC09" w14:textId="77777777" w:rsidR="00013996" w:rsidRPr="00013996" w:rsidRDefault="00013996" w:rsidP="00013996">
      <w:pPr>
        <w:spacing w:after="0" w:line="240" w:lineRule="auto"/>
        <w:rPr>
          <w:rFonts w:ascii="Calibri" w:eastAsia="Calibri" w:hAnsi="Calibri" w:cs="Times New Roman"/>
        </w:rPr>
      </w:pPr>
      <w:r w:rsidRPr="00013996">
        <w:rPr>
          <w:rFonts w:ascii="Calibri" w:eastAsia="Calibri" w:hAnsi="Calibri" w:cs="Times New Roman"/>
        </w:rPr>
        <w:t xml:space="preserve">In addition to the Vocational Lyceums EPALs, there are the Post-apprenticeship Years - Apprenticeship Classes, which are one-year programmes for graduates of EPALs trained by apprenticeship in enterprises in specific specialisations (in the school year 2018-2019 there were 26 different ones and 3,695 students attended). </w:t>
      </w:r>
    </w:p>
    <w:p w14:paraId="1BDB7DC3" w14:textId="77777777" w:rsidR="00013996" w:rsidRPr="00013996" w:rsidRDefault="00013996" w:rsidP="00013996">
      <w:pPr>
        <w:spacing w:after="0" w:line="240" w:lineRule="auto"/>
        <w:rPr>
          <w:rFonts w:ascii="Calibri" w:eastAsia="Calibri" w:hAnsi="Calibri" w:cs="Times New Roman"/>
        </w:rPr>
      </w:pPr>
      <w:r w:rsidRPr="00013996">
        <w:rPr>
          <w:rFonts w:ascii="Calibri" w:eastAsia="Calibri" w:hAnsi="Calibri" w:cs="Times New Roman"/>
        </w:rPr>
        <w:t>Still, there are the 50 (EPAS) Vocational Apprenticeship Schools of the Human Resources Development Agency (OAED).</w:t>
      </w:r>
    </w:p>
    <w:p w14:paraId="4E74692C" w14:textId="77777777" w:rsidR="00013996" w:rsidRPr="00013996" w:rsidRDefault="00013996" w:rsidP="00013996">
      <w:pPr>
        <w:spacing w:after="0" w:line="240" w:lineRule="auto"/>
        <w:rPr>
          <w:rFonts w:ascii="Calibri" w:eastAsia="Calibri" w:hAnsi="Calibri" w:cs="Times New Roman"/>
        </w:rPr>
      </w:pPr>
      <w:r w:rsidRPr="00013996">
        <w:rPr>
          <w:rFonts w:ascii="Calibri" w:eastAsia="Calibri" w:hAnsi="Calibri" w:cs="Times New Roman"/>
        </w:rPr>
        <w:t>In the private sector there are the (IEK) Vocational Training Institutes and the KEK (Vocational Training Centres).</w:t>
      </w:r>
    </w:p>
    <w:p w14:paraId="62F393D3" w14:textId="77777777" w:rsidR="00013996" w:rsidRPr="00013996" w:rsidRDefault="00013996" w:rsidP="00013996">
      <w:pPr>
        <w:spacing w:after="0" w:line="240" w:lineRule="auto"/>
        <w:rPr>
          <w:rFonts w:ascii="Calibri" w:eastAsia="Calibri" w:hAnsi="Calibri" w:cs="Times New Roman"/>
        </w:rPr>
      </w:pPr>
    </w:p>
    <w:p w14:paraId="357AF380" w14:textId="707950AD" w:rsidR="00013996" w:rsidRDefault="00013996" w:rsidP="00013996">
      <w:pPr>
        <w:spacing w:after="0" w:line="240" w:lineRule="auto"/>
        <w:rPr>
          <w:rFonts w:ascii="Calibri" w:eastAsia="Calibri" w:hAnsi="Calibri" w:cs="Times New Roman"/>
          <w:b/>
          <w:bCs/>
          <w:sz w:val="28"/>
          <w:szCs w:val="28"/>
        </w:rPr>
      </w:pPr>
      <w:r w:rsidRPr="00013996">
        <w:rPr>
          <w:rFonts w:ascii="Calibri" w:eastAsia="Calibri" w:hAnsi="Calibri" w:cs="Times New Roman"/>
          <w:b/>
          <w:bCs/>
          <w:sz w:val="28"/>
          <w:szCs w:val="28"/>
        </w:rPr>
        <w:t>The positive impact of the green transition on employment and challenges for businesses and workers in Greece</w:t>
      </w:r>
    </w:p>
    <w:p w14:paraId="30CC19FE" w14:textId="77777777" w:rsidR="00013996" w:rsidRPr="00013996" w:rsidRDefault="00013996" w:rsidP="00013996">
      <w:pPr>
        <w:spacing w:after="0" w:line="240" w:lineRule="auto"/>
        <w:rPr>
          <w:rFonts w:ascii="Calibri" w:eastAsia="Calibri" w:hAnsi="Calibri" w:cs="Times New Roman"/>
          <w:b/>
          <w:bCs/>
          <w:sz w:val="28"/>
          <w:szCs w:val="28"/>
        </w:rPr>
      </w:pPr>
    </w:p>
    <w:p w14:paraId="48DC33EA" w14:textId="77777777" w:rsidR="00013996" w:rsidRPr="00013996" w:rsidRDefault="00013996" w:rsidP="00013996">
      <w:pPr>
        <w:spacing w:after="0" w:line="240" w:lineRule="auto"/>
        <w:rPr>
          <w:rFonts w:ascii="Calibri" w:eastAsia="Calibri" w:hAnsi="Calibri" w:cs="Times New Roman"/>
        </w:rPr>
      </w:pPr>
      <w:r w:rsidRPr="00013996">
        <w:rPr>
          <w:rFonts w:ascii="Calibri" w:eastAsia="Calibri" w:hAnsi="Calibri" w:cs="Times New Roman"/>
        </w:rPr>
        <w:t xml:space="preserve">According to EuroFound (2019), the full implementation of the Paris Climate Agreement is expected to result in a 0.7% increase in employment in Greece - the fourth highest growth rate in the EU. A positive balance also emerges from most international studies at the global level. This means that the new jobs created in emerging green sectors are estimated to outweigh, even marginally, those lost in sectors that will be transformed due to the need to adapt to new levels of environmental requirements. </w:t>
      </w:r>
    </w:p>
    <w:p w14:paraId="01D6D675" w14:textId="77777777" w:rsidR="00013996" w:rsidRPr="00013996" w:rsidRDefault="00013996" w:rsidP="00013996">
      <w:pPr>
        <w:spacing w:after="0" w:line="240" w:lineRule="auto"/>
        <w:rPr>
          <w:rFonts w:ascii="Calibri" w:eastAsia="Calibri" w:hAnsi="Calibri" w:cs="Times New Roman"/>
          <w:lang w:val="en-US"/>
        </w:rPr>
      </w:pPr>
      <w:r w:rsidRPr="00013996">
        <w:rPr>
          <w:rFonts w:ascii="Calibri" w:eastAsia="Calibri" w:hAnsi="Calibri" w:cs="Times New Roman"/>
        </w:rPr>
        <w:t>As regards the scope of green occupations, there are several new ones with a purely environmental profile that are being created, such as carbon trading analyst, environmental auditing and certification specialist, pollution control specialist, photovoltaic installation and maintenance technician, etc. However, the green</w:t>
      </w:r>
      <w:r w:rsidRPr="00013996">
        <w:rPr>
          <w:rFonts w:ascii="Calibri" w:eastAsia="Calibri" w:hAnsi="Calibri" w:cs="Times New Roman"/>
          <w:lang w:val="en-US"/>
        </w:rPr>
        <w:t xml:space="preserve"> </w:t>
      </w:r>
      <w:r w:rsidRPr="00013996">
        <w:rPr>
          <w:rFonts w:ascii="Calibri" w:eastAsia="Calibri" w:hAnsi="Calibri" w:cs="Times New Roman"/>
          <w:lang w:val="en-US"/>
        </w:rPr>
        <w:t>transition will mainly affect and transform existing occupations, highlighting the need for new, green skills for workers.</w:t>
      </w:r>
    </w:p>
    <w:p w14:paraId="29EE079E" w14:textId="77777777" w:rsidR="00013996" w:rsidRPr="00013996" w:rsidRDefault="00013996" w:rsidP="00013996">
      <w:pPr>
        <w:spacing w:after="0" w:line="240" w:lineRule="auto"/>
        <w:rPr>
          <w:rFonts w:ascii="Calibri" w:eastAsia="Calibri" w:hAnsi="Calibri" w:cs="Times New Roman"/>
          <w:lang w:val="en-US"/>
        </w:rPr>
      </w:pPr>
      <w:r w:rsidRPr="00013996">
        <w:rPr>
          <w:rFonts w:ascii="Calibri" w:eastAsia="Calibri" w:hAnsi="Calibri" w:cs="Times New Roman"/>
          <w:lang w:val="en-US"/>
        </w:rPr>
        <w:t>Developing green skills and supporting workforce adaptation requires:</w:t>
      </w:r>
    </w:p>
    <w:p w14:paraId="2BA70C52" w14:textId="77777777" w:rsidR="00013996" w:rsidRPr="00013996" w:rsidRDefault="00013996" w:rsidP="00013996">
      <w:pPr>
        <w:spacing w:after="0" w:line="240" w:lineRule="auto"/>
        <w:rPr>
          <w:rFonts w:ascii="Calibri" w:eastAsia="Calibri" w:hAnsi="Calibri" w:cs="Times New Roman"/>
          <w:lang w:val="en-US"/>
        </w:rPr>
      </w:pPr>
      <w:r w:rsidRPr="00013996">
        <w:rPr>
          <w:rFonts w:ascii="Calibri" w:eastAsia="Calibri" w:hAnsi="Calibri" w:cs="Times New Roman"/>
          <w:lang w:val="en-US"/>
        </w:rPr>
        <w:t xml:space="preserve">- Immediate adaptation of the formal and non-formal education system, by reviewing/updating curricula, to ensure that new entrants to the </w:t>
      </w:r>
      <w:proofErr w:type="spellStart"/>
      <w:r w:rsidRPr="00013996">
        <w:rPr>
          <w:rFonts w:ascii="Calibri" w:eastAsia="Calibri" w:hAnsi="Calibri" w:cs="Times New Roman"/>
          <w:lang w:val="en-US"/>
        </w:rPr>
        <w:t>labour</w:t>
      </w:r>
      <w:proofErr w:type="spellEnd"/>
      <w:r w:rsidRPr="00013996">
        <w:rPr>
          <w:rFonts w:ascii="Calibri" w:eastAsia="Calibri" w:hAnsi="Calibri" w:cs="Times New Roman"/>
          <w:lang w:val="en-US"/>
        </w:rPr>
        <w:t xml:space="preserve"> market have the right knowledge and skills for a low-carbon and resource-efficient economy.</w:t>
      </w:r>
    </w:p>
    <w:p w14:paraId="4290810D" w14:textId="77777777" w:rsidR="00013996" w:rsidRPr="00013996" w:rsidRDefault="00013996" w:rsidP="00013996">
      <w:pPr>
        <w:spacing w:after="0" w:line="240" w:lineRule="auto"/>
        <w:rPr>
          <w:rFonts w:ascii="Calibri" w:eastAsia="Calibri" w:hAnsi="Calibri" w:cs="Times New Roman"/>
          <w:lang w:val="en-US"/>
        </w:rPr>
      </w:pPr>
      <w:r w:rsidRPr="00013996">
        <w:rPr>
          <w:rFonts w:ascii="Calibri" w:eastAsia="Calibri" w:hAnsi="Calibri" w:cs="Times New Roman"/>
          <w:lang w:val="en-US"/>
        </w:rPr>
        <w:t>- Facilitate the transition to new green jobs for those whose jobs are lost, through reskilling combined with the promotion of geographical mobility and the provision of appropriate income support (active and passive employment policies) and upskilling for those whose jobs are being transformed.</w:t>
      </w:r>
    </w:p>
    <w:p w14:paraId="3CB3B2B4" w14:textId="77777777" w:rsidR="00013996" w:rsidRPr="00013996" w:rsidRDefault="00013996" w:rsidP="00013996">
      <w:pPr>
        <w:spacing w:after="0" w:line="240" w:lineRule="auto"/>
        <w:rPr>
          <w:rFonts w:ascii="Calibri" w:eastAsia="Calibri" w:hAnsi="Calibri" w:cs="Times New Roman"/>
          <w:lang w:val="en-US"/>
        </w:rPr>
      </w:pPr>
      <w:r w:rsidRPr="00013996">
        <w:rPr>
          <w:rFonts w:ascii="Calibri" w:eastAsia="Calibri" w:hAnsi="Calibri" w:cs="Times New Roman"/>
          <w:lang w:val="en-US"/>
        </w:rPr>
        <w:lastRenderedPageBreak/>
        <w:t>- Developing reliable and effective systems for the recognition and certification of green qualifications and skills, including those acquired informally.</w:t>
      </w:r>
    </w:p>
    <w:p w14:paraId="54DB7B35" w14:textId="77777777" w:rsidR="00013996" w:rsidRPr="00013996" w:rsidRDefault="00013996" w:rsidP="00013996">
      <w:pPr>
        <w:spacing w:after="0" w:line="240" w:lineRule="auto"/>
        <w:rPr>
          <w:rFonts w:ascii="Calibri" w:eastAsia="Calibri" w:hAnsi="Calibri" w:cs="Times New Roman"/>
          <w:lang w:val="en-US"/>
        </w:rPr>
      </w:pPr>
      <w:r w:rsidRPr="00013996">
        <w:rPr>
          <w:rFonts w:ascii="Calibri" w:eastAsia="Calibri" w:hAnsi="Calibri" w:cs="Times New Roman"/>
          <w:lang w:val="en-US"/>
        </w:rPr>
        <w:t>- Provide in-company training for the acquisition of specific green skills, tailored to the needs of each company and worker, and learning of generic green skills through seminars, on-the-job training, provision of relevant information material, etc.</w:t>
      </w:r>
    </w:p>
    <w:p w14:paraId="0312759A" w14:textId="2A2D07CB" w:rsidR="00013996" w:rsidRPr="00013996" w:rsidRDefault="00013996" w:rsidP="00013996">
      <w:pPr>
        <w:spacing w:after="0" w:line="240" w:lineRule="auto"/>
        <w:rPr>
          <w:rFonts w:ascii="Calibri" w:eastAsia="Calibri" w:hAnsi="Calibri" w:cs="Times New Roman"/>
          <w:lang w:val="en-US"/>
        </w:rPr>
      </w:pPr>
      <w:r w:rsidRPr="00013996">
        <w:rPr>
          <w:rFonts w:ascii="Calibri" w:eastAsia="Calibri" w:hAnsi="Calibri" w:cs="Times New Roman"/>
          <w:lang w:val="en-US"/>
        </w:rPr>
        <w:t xml:space="preserve">- Allocate resources for the implementation of training </w:t>
      </w:r>
      <w:r w:rsidR="00E621F3" w:rsidRPr="00013996">
        <w:rPr>
          <w:rFonts w:ascii="Calibri" w:eastAsia="Calibri" w:hAnsi="Calibri" w:cs="Times New Roman"/>
          <w:lang w:val="en-US"/>
        </w:rPr>
        <w:t>programs</w:t>
      </w:r>
      <w:r w:rsidRPr="00013996">
        <w:rPr>
          <w:rFonts w:ascii="Calibri" w:eastAsia="Calibri" w:hAnsi="Calibri" w:cs="Times New Roman"/>
          <w:lang w:val="en-US"/>
        </w:rPr>
        <w:t xml:space="preserve"> to train workers in green processes and </w:t>
      </w:r>
      <w:proofErr w:type="spellStart"/>
      <w:r w:rsidRPr="00013996">
        <w:rPr>
          <w:rFonts w:ascii="Calibri" w:eastAsia="Calibri" w:hAnsi="Calibri" w:cs="Times New Roman"/>
          <w:lang w:val="en-US"/>
        </w:rPr>
        <w:t>behaviours</w:t>
      </w:r>
      <w:proofErr w:type="spellEnd"/>
      <w:r w:rsidRPr="00013996">
        <w:rPr>
          <w:rFonts w:ascii="Calibri" w:eastAsia="Calibri" w:hAnsi="Calibri" w:cs="Times New Roman"/>
          <w:lang w:val="en-US"/>
        </w:rPr>
        <w:t xml:space="preserve"> in priority occupations (office workers, drivers).</w:t>
      </w:r>
    </w:p>
    <w:p w14:paraId="76364426" w14:textId="77777777" w:rsidR="00013996" w:rsidRPr="00013996" w:rsidRDefault="00013996" w:rsidP="00013996">
      <w:pPr>
        <w:spacing w:after="0" w:line="240" w:lineRule="auto"/>
        <w:rPr>
          <w:rFonts w:ascii="Calibri" w:eastAsia="Calibri" w:hAnsi="Calibri" w:cs="Times New Roman"/>
          <w:lang w:val="en-US"/>
        </w:rPr>
      </w:pPr>
    </w:p>
    <w:p w14:paraId="1AE15048" w14:textId="77777777" w:rsidR="00013996" w:rsidRPr="00013996" w:rsidRDefault="00013996" w:rsidP="00013996">
      <w:pPr>
        <w:spacing w:after="0" w:line="240" w:lineRule="auto"/>
        <w:rPr>
          <w:rFonts w:ascii="Calibri" w:eastAsia="Calibri" w:hAnsi="Calibri" w:cs="Times New Roman"/>
          <w:lang w:val="en-US"/>
        </w:rPr>
      </w:pPr>
      <w:r w:rsidRPr="00013996">
        <w:rPr>
          <w:rFonts w:ascii="Calibri" w:eastAsia="Calibri" w:hAnsi="Calibri" w:cs="Times New Roman"/>
          <w:lang w:val="en-US"/>
        </w:rPr>
        <w:t xml:space="preserve">The exit of the Greek economy from the Crisis and the problems it had to manage due to the Pandemic have also highlighted </w:t>
      </w:r>
      <w:proofErr w:type="gramStart"/>
      <w:r w:rsidRPr="00013996">
        <w:rPr>
          <w:rFonts w:ascii="Calibri" w:eastAsia="Calibri" w:hAnsi="Calibri" w:cs="Times New Roman"/>
          <w:lang w:val="en-US"/>
        </w:rPr>
        <w:t>a number of</w:t>
      </w:r>
      <w:proofErr w:type="gramEnd"/>
      <w:r w:rsidRPr="00013996">
        <w:rPr>
          <w:rFonts w:ascii="Calibri" w:eastAsia="Calibri" w:hAnsi="Calibri" w:cs="Times New Roman"/>
          <w:lang w:val="en-US"/>
        </w:rPr>
        <w:t xml:space="preserve"> new professions of SME employees and self-employed people for whom training </w:t>
      </w:r>
      <w:proofErr w:type="spellStart"/>
      <w:r w:rsidRPr="00013996">
        <w:rPr>
          <w:rFonts w:ascii="Calibri" w:eastAsia="Calibri" w:hAnsi="Calibri" w:cs="Times New Roman"/>
          <w:lang w:val="en-US"/>
        </w:rPr>
        <w:t>programmes</w:t>
      </w:r>
      <w:proofErr w:type="spellEnd"/>
      <w:r w:rsidRPr="00013996">
        <w:rPr>
          <w:rFonts w:ascii="Calibri" w:eastAsia="Calibri" w:hAnsi="Calibri" w:cs="Times New Roman"/>
          <w:lang w:val="en-US"/>
        </w:rPr>
        <w:t xml:space="preserve"> should be developed in order to develop their skills.</w:t>
      </w:r>
    </w:p>
    <w:p w14:paraId="75B3D4CE" w14:textId="77777777" w:rsidR="00E621F3" w:rsidRDefault="00E621F3" w:rsidP="00013996">
      <w:pPr>
        <w:spacing w:after="0" w:line="240" w:lineRule="auto"/>
        <w:rPr>
          <w:rFonts w:ascii="Calibri" w:eastAsia="Calibri" w:hAnsi="Calibri" w:cs="Times New Roman"/>
          <w:lang w:val="en-US"/>
        </w:rPr>
      </w:pPr>
    </w:p>
    <w:p w14:paraId="50D1A8E8" w14:textId="6DA5C3BB" w:rsidR="00013996" w:rsidRDefault="00013996" w:rsidP="00013996">
      <w:pPr>
        <w:spacing w:after="0" w:line="240" w:lineRule="auto"/>
        <w:rPr>
          <w:rFonts w:ascii="Calibri" w:eastAsia="Calibri" w:hAnsi="Calibri" w:cs="Times New Roman"/>
          <w:b/>
          <w:bCs/>
          <w:sz w:val="28"/>
          <w:szCs w:val="28"/>
          <w:lang w:val="en-US"/>
        </w:rPr>
      </w:pPr>
      <w:r w:rsidRPr="00E621F3">
        <w:rPr>
          <w:rFonts w:ascii="Calibri" w:eastAsia="Calibri" w:hAnsi="Calibri" w:cs="Times New Roman"/>
          <w:b/>
          <w:bCs/>
          <w:sz w:val="28"/>
          <w:szCs w:val="28"/>
          <w:lang w:val="en-US"/>
        </w:rPr>
        <w:t xml:space="preserve">Occupations with </w:t>
      </w:r>
      <w:proofErr w:type="spellStart"/>
      <w:r w:rsidRPr="00E621F3">
        <w:rPr>
          <w:rFonts w:ascii="Calibri" w:eastAsia="Calibri" w:hAnsi="Calibri" w:cs="Times New Roman"/>
          <w:b/>
          <w:bCs/>
          <w:sz w:val="28"/>
          <w:szCs w:val="28"/>
          <w:lang w:val="en-US"/>
        </w:rPr>
        <w:t>teleworkability</w:t>
      </w:r>
      <w:proofErr w:type="spellEnd"/>
      <w:r w:rsidRPr="00E621F3">
        <w:rPr>
          <w:rFonts w:ascii="Calibri" w:eastAsia="Calibri" w:hAnsi="Calibri" w:cs="Times New Roman"/>
          <w:b/>
          <w:bCs/>
          <w:sz w:val="28"/>
          <w:szCs w:val="28"/>
          <w:lang w:val="en-US"/>
        </w:rPr>
        <w:t>.</w:t>
      </w:r>
    </w:p>
    <w:p w14:paraId="0B52C430" w14:textId="77777777" w:rsidR="00E621F3" w:rsidRPr="00E621F3" w:rsidRDefault="00E621F3" w:rsidP="00013996">
      <w:pPr>
        <w:spacing w:after="0" w:line="240" w:lineRule="auto"/>
        <w:rPr>
          <w:rFonts w:ascii="Calibri" w:eastAsia="Calibri" w:hAnsi="Calibri" w:cs="Times New Roman"/>
          <w:b/>
          <w:bCs/>
          <w:sz w:val="28"/>
          <w:szCs w:val="28"/>
          <w:lang w:val="en-US"/>
        </w:rPr>
      </w:pPr>
    </w:p>
    <w:p w14:paraId="1649A274" w14:textId="77777777" w:rsidR="00013996" w:rsidRPr="00013996" w:rsidRDefault="00013996" w:rsidP="00013996">
      <w:pPr>
        <w:spacing w:after="0" w:line="240" w:lineRule="auto"/>
        <w:rPr>
          <w:rFonts w:ascii="Calibri" w:eastAsia="Calibri" w:hAnsi="Calibri" w:cs="Times New Roman"/>
          <w:lang w:val="en-US"/>
        </w:rPr>
      </w:pPr>
      <w:r w:rsidRPr="00013996">
        <w:rPr>
          <w:rFonts w:ascii="Calibri" w:eastAsia="Calibri" w:hAnsi="Calibri" w:cs="Times New Roman"/>
          <w:lang w:val="en-US"/>
        </w:rPr>
        <w:t>The teleworking rate in 2020 in Greece was 7%, while the European average was 12% (Eurostat LFS, 2021). Although teleworking has increased during the pandemic, its real potential is even greater and goes hand in hand with the digital transformation of businesses. Many companies are already evaluating the possibilities of moving, after the pandemic, to a hybrid model combining teleworking and physical presence of employees.</w:t>
      </w:r>
    </w:p>
    <w:p w14:paraId="10F6CF27" w14:textId="76BFB1C4" w:rsidR="00E621F3" w:rsidRPr="00E621F3" w:rsidRDefault="00013996" w:rsidP="00E621F3">
      <w:pPr>
        <w:spacing w:after="0" w:line="240" w:lineRule="auto"/>
        <w:rPr>
          <w:rFonts w:ascii="Calibri" w:eastAsia="Calibri" w:hAnsi="Calibri" w:cs="Times New Roman"/>
          <w:lang w:val="en-US"/>
        </w:rPr>
      </w:pPr>
      <w:r w:rsidRPr="00013996">
        <w:rPr>
          <w:rFonts w:ascii="Calibri" w:eastAsia="Calibri" w:hAnsi="Calibri" w:cs="Times New Roman"/>
          <w:lang w:val="en-US"/>
        </w:rPr>
        <w:t>The fact that 10 of the 20 highest-employed occupations in Greece have no teleworking capability is linked to the very low level of teleworking in the country</w:t>
      </w:r>
      <w:r w:rsidR="00E621F3" w:rsidRPr="00E621F3">
        <w:rPr>
          <w:rFonts w:ascii="Calibri" w:eastAsia="Calibri" w:hAnsi="Calibri" w:cs="Times New Roman"/>
          <w:lang w:val="en-US"/>
        </w:rPr>
        <w:t xml:space="preserve"> </w:t>
      </w:r>
      <w:r w:rsidR="00E621F3" w:rsidRPr="00E621F3">
        <w:rPr>
          <w:rFonts w:ascii="Calibri" w:eastAsia="Calibri" w:hAnsi="Calibri" w:cs="Times New Roman"/>
          <w:lang w:val="en-US"/>
        </w:rPr>
        <w:t xml:space="preserve">digital transformation of enterprises (and the corresponding </w:t>
      </w:r>
      <w:proofErr w:type="spellStart"/>
      <w:r w:rsidR="00E621F3" w:rsidRPr="00E621F3">
        <w:rPr>
          <w:rFonts w:ascii="Calibri" w:eastAsia="Calibri" w:hAnsi="Calibri" w:cs="Times New Roman"/>
          <w:lang w:val="en-US"/>
        </w:rPr>
        <w:t>organisation</w:t>
      </w:r>
      <w:proofErr w:type="spellEnd"/>
      <w:r w:rsidR="00E621F3" w:rsidRPr="00E621F3">
        <w:rPr>
          <w:rFonts w:ascii="Calibri" w:eastAsia="Calibri" w:hAnsi="Calibri" w:cs="Times New Roman"/>
          <w:lang w:val="en-US"/>
        </w:rPr>
        <w:t xml:space="preserve"> of work)</w:t>
      </w:r>
      <w:r w:rsidR="00E621F3" w:rsidRPr="00E621F3">
        <w:rPr>
          <w:rFonts w:ascii="Calibri" w:eastAsia="Calibri" w:hAnsi="Calibri" w:cs="Times New Roman"/>
          <w:lang w:val="en-US"/>
        </w:rPr>
        <w:t>.</w:t>
      </w:r>
    </w:p>
    <w:p w14:paraId="6775D26C" w14:textId="77777777" w:rsidR="00E621F3" w:rsidRPr="00E621F3" w:rsidRDefault="00E621F3" w:rsidP="00E621F3">
      <w:pPr>
        <w:spacing w:after="0" w:line="240" w:lineRule="auto"/>
        <w:rPr>
          <w:rFonts w:ascii="Calibri" w:eastAsia="Calibri" w:hAnsi="Calibri" w:cs="Times New Roman"/>
          <w:lang w:val="en-US"/>
        </w:rPr>
      </w:pPr>
      <w:r w:rsidRPr="00E621F3">
        <w:rPr>
          <w:rFonts w:ascii="Calibri" w:eastAsia="Calibri" w:hAnsi="Calibri" w:cs="Times New Roman"/>
          <w:lang w:val="en-US"/>
        </w:rPr>
        <w:t xml:space="preserve">Access to technologies and the </w:t>
      </w:r>
      <w:proofErr w:type="spellStart"/>
      <w:r w:rsidRPr="00E621F3">
        <w:rPr>
          <w:rFonts w:ascii="Calibri" w:eastAsia="Calibri" w:hAnsi="Calibri" w:cs="Times New Roman"/>
          <w:lang w:val="en-US"/>
        </w:rPr>
        <w:t>modernisation</w:t>
      </w:r>
      <w:proofErr w:type="spellEnd"/>
      <w:r w:rsidRPr="00E621F3">
        <w:rPr>
          <w:rFonts w:ascii="Calibri" w:eastAsia="Calibri" w:hAnsi="Calibri" w:cs="Times New Roman"/>
          <w:lang w:val="en-US"/>
        </w:rPr>
        <w:t xml:space="preserve"> of work objects can significantly increase the proportion of workers in Greece who can work remotely, enjoying the benefits of teleworking.</w:t>
      </w:r>
    </w:p>
    <w:p w14:paraId="2E166F79" w14:textId="77777777" w:rsidR="00E621F3" w:rsidRPr="00E621F3" w:rsidRDefault="00E621F3" w:rsidP="00E621F3">
      <w:pPr>
        <w:spacing w:after="0" w:line="240" w:lineRule="auto"/>
        <w:rPr>
          <w:rFonts w:ascii="Calibri" w:eastAsia="Calibri" w:hAnsi="Calibri" w:cs="Times New Roman"/>
          <w:lang w:val="en-US"/>
        </w:rPr>
      </w:pPr>
      <w:r w:rsidRPr="00E621F3">
        <w:rPr>
          <w:rFonts w:ascii="Calibri" w:eastAsia="Calibri" w:hAnsi="Calibri" w:cs="Times New Roman"/>
          <w:lang w:val="en-US"/>
        </w:rPr>
        <w:t xml:space="preserve">The digital transformation of enterprises is bringing about changes in the way work is </w:t>
      </w:r>
      <w:proofErr w:type="spellStart"/>
      <w:r w:rsidRPr="00E621F3">
        <w:rPr>
          <w:rFonts w:ascii="Calibri" w:eastAsia="Calibri" w:hAnsi="Calibri" w:cs="Times New Roman"/>
          <w:lang w:val="en-US"/>
        </w:rPr>
        <w:t>organised</w:t>
      </w:r>
      <w:proofErr w:type="spellEnd"/>
      <w:r w:rsidRPr="00E621F3">
        <w:rPr>
          <w:rFonts w:ascii="Calibri" w:eastAsia="Calibri" w:hAnsi="Calibri" w:cs="Times New Roman"/>
          <w:lang w:val="en-US"/>
        </w:rPr>
        <w:t xml:space="preserve">, but also in the concept of the 'place of work'. Teleworking is a prime example, as it allows tasks to be carried out off-site using digital technologies, and changes the relationships, </w:t>
      </w:r>
      <w:proofErr w:type="spellStart"/>
      <w:proofErr w:type="gramStart"/>
      <w:r w:rsidRPr="00E621F3">
        <w:rPr>
          <w:rFonts w:ascii="Calibri" w:eastAsia="Calibri" w:hAnsi="Calibri" w:cs="Times New Roman"/>
          <w:lang w:val="en-US"/>
        </w:rPr>
        <w:t>organisation</w:t>
      </w:r>
      <w:proofErr w:type="spellEnd"/>
      <w:proofErr w:type="gramEnd"/>
      <w:r w:rsidRPr="00E621F3">
        <w:rPr>
          <w:rFonts w:ascii="Calibri" w:eastAsia="Calibri" w:hAnsi="Calibri" w:cs="Times New Roman"/>
          <w:lang w:val="en-US"/>
        </w:rPr>
        <w:t xml:space="preserve"> and obligations of work. </w:t>
      </w:r>
    </w:p>
    <w:p w14:paraId="29B3D25D" w14:textId="77777777" w:rsidR="00E621F3" w:rsidRDefault="00E621F3" w:rsidP="00E621F3">
      <w:pPr>
        <w:spacing w:after="0" w:line="240" w:lineRule="auto"/>
        <w:rPr>
          <w:rFonts w:ascii="Calibri" w:eastAsia="Calibri" w:hAnsi="Calibri" w:cs="Times New Roman"/>
          <w:lang w:val="en-US"/>
        </w:rPr>
      </w:pPr>
    </w:p>
    <w:p w14:paraId="2DBF4090" w14:textId="556E4A6A" w:rsidR="00E621F3" w:rsidRDefault="00E621F3" w:rsidP="00E621F3">
      <w:pPr>
        <w:spacing w:after="0" w:line="240" w:lineRule="auto"/>
        <w:rPr>
          <w:rFonts w:ascii="Calibri" w:eastAsia="Calibri" w:hAnsi="Calibri" w:cs="Times New Roman"/>
          <w:b/>
          <w:bCs/>
          <w:sz w:val="28"/>
          <w:szCs w:val="28"/>
          <w:lang w:val="en-US"/>
        </w:rPr>
      </w:pPr>
      <w:r w:rsidRPr="00E621F3">
        <w:rPr>
          <w:rFonts w:ascii="Calibri" w:eastAsia="Calibri" w:hAnsi="Calibri" w:cs="Times New Roman"/>
          <w:b/>
          <w:bCs/>
          <w:sz w:val="28"/>
          <w:szCs w:val="28"/>
          <w:lang w:val="en-US"/>
        </w:rPr>
        <w:t>Dynamic occupations in the SME sector</w:t>
      </w:r>
    </w:p>
    <w:p w14:paraId="0329ABFD" w14:textId="77777777" w:rsidR="00E621F3" w:rsidRPr="00E621F3" w:rsidRDefault="00E621F3" w:rsidP="00E621F3">
      <w:pPr>
        <w:spacing w:after="0" w:line="240" w:lineRule="auto"/>
        <w:rPr>
          <w:rFonts w:ascii="Calibri" w:eastAsia="Calibri" w:hAnsi="Calibri" w:cs="Times New Roman"/>
          <w:b/>
          <w:bCs/>
          <w:sz w:val="28"/>
          <w:szCs w:val="28"/>
          <w:lang w:val="en-US"/>
        </w:rPr>
      </w:pPr>
    </w:p>
    <w:p w14:paraId="1D1C925B" w14:textId="77777777" w:rsidR="00E621F3" w:rsidRPr="00E621F3" w:rsidRDefault="00E621F3" w:rsidP="00E621F3">
      <w:pPr>
        <w:spacing w:after="0" w:line="240" w:lineRule="auto"/>
        <w:rPr>
          <w:rFonts w:ascii="Calibri" w:eastAsia="Calibri" w:hAnsi="Calibri" w:cs="Times New Roman"/>
          <w:lang w:val="en-US"/>
        </w:rPr>
      </w:pPr>
      <w:r w:rsidRPr="00E621F3">
        <w:rPr>
          <w:rFonts w:ascii="Calibri" w:eastAsia="Calibri" w:hAnsi="Calibri" w:cs="Times New Roman"/>
          <w:lang w:val="en-US"/>
        </w:rPr>
        <w:t xml:space="preserve">Many of the occupations for employment in SMEs are quite dynamic, </w:t>
      </w:r>
      <w:proofErr w:type="gramStart"/>
      <w:r w:rsidRPr="00E621F3">
        <w:rPr>
          <w:rFonts w:ascii="Calibri" w:eastAsia="Calibri" w:hAnsi="Calibri" w:cs="Times New Roman"/>
          <w:lang w:val="en-US"/>
        </w:rPr>
        <w:t>i.e.</w:t>
      </w:r>
      <w:proofErr w:type="gramEnd"/>
      <w:r w:rsidRPr="00E621F3">
        <w:rPr>
          <w:rFonts w:ascii="Calibri" w:eastAsia="Calibri" w:hAnsi="Calibri" w:cs="Times New Roman"/>
          <w:lang w:val="en-US"/>
        </w:rPr>
        <w:t xml:space="preserve"> they offer better employment prospects and pay. These are middle-level occupations, mainly in the productive sectors of the economy, which have shown considerable potential as key pillars for job growth and employment in the period between the peak of the economic crisis and the onset of the pandemic.</w:t>
      </w:r>
    </w:p>
    <w:p w14:paraId="6C276FD1" w14:textId="77777777" w:rsidR="00E621F3" w:rsidRPr="00E621F3" w:rsidRDefault="00E621F3" w:rsidP="00E621F3">
      <w:pPr>
        <w:spacing w:after="0" w:line="240" w:lineRule="auto"/>
        <w:rPr>
          <w:rFonts w:ascii="Calibri" w:eastAsia="Calibri" w:hAnsi="Calibri" w:cs="Times New Roman"/>
          <w:lang w:val="en-US"/>
        </w:rPr>
      </w:pPr>
      <w:proofErr w:type="gramStart"/>
      <w:r w:rsidRPr="00E621F3">
        <w:rPr>
          <w:rFonts w:ascii="Calibri" w:eastAsia="Calibri" w:hAnsi="Calibri" w:cs="Times New Roman"/>
          <w:lang w:val="en-US"/>
        </w:rPr>
        <w:t>In particular, between</w:t>
      </w:r>
      <w:proofErr w:type="gramEnd"/>
      <w:r w:rsidRPr="00E621F3">
        <w:rPr>
          <w:rFonts w:ascii="Calibri" w:eastAsia="Calibri" w:hAnsi="Calibri" w:cs="Times New Roman"/>
          <w:lang w:val="en-US"/>
        </w:rPr>
        <w:t xml:space="preserve"> 2013-2019, employment in manufacturing, logistics, ICT, energy and mining grew faster than employment in the economy as a whole. In 2019, 68% of workers in critical productive sectors were employed in VET occupations, compared to 37% for the </w:t>
      </w:r>
      <w:proofErr w:type="gramStart"/>
      <w:r w:rsidRPr="00E621F3">
        <w:rPr>
          <w:rFonts w:ascii="Calibri" w:eastAsia="Calibri" w:hAnsi="Calibri" w:cs="Times New Roman"/>
          <w:lang w:val="en-US"/>
        </w:rPr>
        <w:t>economy as a whole</w:t>
      </w:r>
      <w:proofErr w:type="gramEnd"/>
      <w:r w:rsidRPr="00E621F3">
        <w:rPr>
          <w:rFonts w:ascii="Calibri" w:eastAsia="Calibri" w:hAnsi="Calibri" w:cs="Times New Roman"/>
          <w:lang w:val="en-US"/>
        </w:rPr>
        <w:t>. Among VET occupations, the most populous categories are "Operators", "Craftsmen" and "Management and Economics occupations", which show remarkable dynamics and are evolving as key pillars of employment enhancement.</w:t>
      </w:r>
    </w:p>
    <w:p w14:paraId="3FF99F0F" w14:textId="77777777" w:rsidR="00E621F3" w:rsidRPr="00E621F3" w:rsidRDefault="00E621F3" w:rsidP="00E621F3">
      <w:pPr>
        <w:spacing w:after="0" w:line="240" w:lineRule="auto"/>
        <w:rPr>
          <w:rFonts w:ascii="Calibri" w:eastAsia="Calibri" w:hAnsi="Calibri" w:cs="Times New Roman"/>
          <w:lang w:val="en-US"/>
        </w:rPr>
      </w:pPr>
      <w:r w:rsidRPr="00E621F3">
        <w:rPr>
          <w:rFonts w:ascii="Calibri" w:eastAsia="Calibri" w:hAnsi="Calibri" w:cs="Times New Roman"/>
          <w:lang w:val="en-US"/>
        </w:rPr>
        <w:t xml:space="preserve">In other words, these are sectors and occupations with considerable potential for workers, as they are at the heart of companies' search for suitably qualified human resources. However, as the productive sectors absorb an increasing share of human resources, there is a growing need to upgrade the quality of the VET system and further link it to the challenges of productive transformation </w:t>
      </w:r>
      <w:proofErr w:type="gramStart"/>
      <w:r w:rsidRPr="00E621F3">
        <w:rPr>
          <w:rFonts w:ascii="Calibri" w:eastAsia="Calibri" w:hAnsi="Calibri" w:cs="Times New Roman"/>
          <w:lang w:val="en-US"/>
        </w:rPr>
        <w:t>in order to</w:t>
      </w:r>
      <w:proofErr w:type="gramEnd"/>
      <w:r w:rsidRPr="00E621F3">
        <w:rPr>
          <w:rFonts w:ascii="Calibri" w:eastAsia="Calibri" w:hAnsi="Calibri" w:cs="Times New Roman"/>
          <w:lang w:val="en-US"/>
        </w:rPr>
        <w:t xml:space="preserve"> provide the specific, modern, knowledge and skills that will enable people to find jobs and enterprises to meet their business needs.</w:t>
      </w:r>
    </w:p>
    <w:p w14:paraId="54C89BDF" w14:textId="77777777" w:rsidR="00A42BDB" w:rsidRDefault="00A42BDB" w:rsidP="00E621F3">
      <w:pPr>
        <w:spacing w:after="0" w:line="240" w:lineRule="auto"/>
        <w:rPr>
          <w:rFonts w:ascii="Calibri" w:eastAsia="Calibri" w:hAnsi="Calibri" w:cs="Times New Roman"/>
          <w:lang w:val="en-US"/>
        </w:rPr>
      </w:pPr>
    </w:p>
    <w:p w14:paraId="2D57BD97" w14:textId="7B93E682" w:rsidR="00A42BDB" w:rsidRDefault="00A42BDB" w:rsidP="00E621F3">
      <w:pPr>
        <w:spacing w:after="0" w:line="240" w:lineRule="auto"/>
        <w:rPr>
          <w:rFonts w:ascii="Calibri" w:eastAsia="Calibri" w:hAnsi="Calibri" w:cs="Times New Roman"/>
          <w:b/>
          <w:bCs/>
          <w:sz w:val="28"/>
          <w:szCs w:val="28"/>
          <w:lang w:val="en-US"/>
        </w:rPr>
      </w:pPr>
      <w:r w:rsidRPr="00A42BDB">
        <w:rPr>
          <w:rFonts w:ascii="Calibri" w:eastAsia="Calibri" w:hAnsi="Calibri" w:cs="Times New Roman"/>
          <w:b/>
          <w:bCs/>
          <w:sz w:val="28"/>
          <w:szCs w:val="28"/>
          <w:lang w:val="en-US"/>
        </w:rPr>
        <w:lastRenderedPageBreak/>
        <w:t>Enhancing the skills of human resources</w:t>
      </w:r>
    </w:p>
    <w:p w14:paraId="73FEFF9C" w14:textId="77777777" w:rsidR="00A42BDB" w:rsidRPr="00A42BDB" w:rsidRDefault="00A42BDB" w:rsidP="00E621F3">
      <w:pPr>
        <w:spacing w:after="0" w:line="240" w:lineRule="auto"/>
        <w:rPr>
          <w:rFonts w:ascii="Calibri" w:eastAsia="Calibri" w:hAnsi="Calibri" w:cs="Times New Roman"/>
          <w:b/>
          <w:bCs/>
          <w:sz w:val="28"/>
          <w:szCs w:val="28"/>
          <w:lang w:val="en-US"/>
        </w:rPr>
      </w:pPr>
    </w:p>
    <w:p w14:paraId="78915C5B" w14:textId="2F10AA08" w:rsidR="00E621F3" w:rsidRPr="00E621F3" w:rsidRDefault="00E621F3" w:rsidP="00E621F3">
      <w:pPr>
        <w:spacing w:after="0" w:line="240" w:lineRule="auto"/>
        <w:rPr>
          <w:rFonts w:ascii="Calibri" w:eastAsia="Calibri" w:hAnsi="Calibri" w:cs="Times New Roman"/>
          <w:lang w:val="en-US"/>
        </w:rPr>
      </w:pPr>
      <w:r w:rsidRPr="00E621F3">
        <w:rPr>
          <w:rFonts w:ascii="Calibri" w:eastAsia="Calibri" w:hAnsi="Calibri" w:cs="Times New Roman"/>
          <w:lang w:val="en-US"/>
        </w:rPr>
        <w:t xml:space="preserve">Enhancing the skills of human resources broadens employment prospects and enables enterprises to meet their specific needs. Therefore, the redesign of VET </w:t>
      </w:r>
      <w:r w:rsidRPr="00E621F3">
        <w:rPr>
          <w:rFonts w:ascii="Calibri" w:eastAsia="Calibri" w:hAnsi="Calibri" w:cs="Times New Roman"/>
          <w:lang w:val="en-US"/>
        </w:rPr>
        <w:t>programs</w:t>
      </w:r>
      <w:r w:rsidRPr="00E621F3">
        <w:rPr>
          <w:rFonts w:ascii="Calibri" w:eastAsia="Calibri" w:hAnsi="Calibri" w:cs="Times New Roman"/>
          <w:lang w:val="en-US"/>
        </w:rPr>
        <w:t xml:space="preserve"> is a process with mutual benefits for workers, the underemployed, the unemployed and enterprises, and a crucial condition to effectively support the transition towards</w:t>
      </w:r>
      <w:r w:rsidRPr="00E621F3">
        <w:rPr>
          <w:rFonts w:ascii="Calibri" w:eastAsia="Calibri" w:hAnsi="Calibri" w:cs="Times New Roman"/>
          <w:lang w:val="en-US"/>
        </w:rPr>
        <w:t xml:space="preserve"> </w:t>
      </w:r>
      <w:r w:rsidRPr="00E621F3">
        <w:rPr>
          <w:rFonts w:ascii="Calibri" w:eastAsia="Calibri" w:hAnsi="Calibri" w:cs="Times New Roman"/>
          <w:lang w:val="en-US"/>
        </w:rPr>
        <w:t>a growth model oriented towards production and exports, with more and better jobs.</w:t>
      </w:r>
    </w:p>
    <w:p w14:paraId="7B911301" w14:textId="77777777" w:rsidR="00E621F3" w:rsidRPr="00E621F3" w:rsidRDefault="00E621F3" w:rsidP="00E621F3">
      <w:pPr>
        <w:spacing w:after="0" w:line="240" w:lineRule="auto"/>
        <w:rPr>
          <w:rFonts w:ascii="Calibri" w:eastAsia="Calibri" w:hAnsi="Calibri" w:cs="Times New Roman"/>
          <w:lang w:val="en-US"/>
        </w:rPr>
      </w:pPr>
      <w:r w:rsidRPr="00E621F3">
        <w:rPr>
          <w:rFonts w:ascii="Calibri" w:eastAsia="Calibri" w:hAnsi="Calibri" w:cs="Times New Roman"/>
          <w:lang w:val="en-US"/>
        </w:rPr>
        <w:t>- There are dynamic technical occupations coming out of VET where the number of workers is increasing and good employment and wage prospects are provided, and it is important for VET to focus there.</w:t>
      </w:r>
    </w:p>
    <w:p w14:paraId="079308A0" w14:textId="77777777" w:rsidR="00E621F3" w:rsidRPr="00E621F3" w:rsidRDefault="00E621F3" w:rsidP="00E621F3">
      <w:pPr>
        <w:spacing w:after="0" w:line="240" w:lineRule="auto"/>
        <w:rPr>
          <w:rFonts w:ascii="Calibri" w:eastAsia="Calibri" w:hAnsi="Calibri" w:cs="Times New Roman"/>
          <w:lang w:val="en-US"/>
        </w:rPr>
      </w:pPr>
      <w:r w:rsidRPr="00E621F3">
        <w:rPr>
          <w:rFonts w:ascii="Calibri" w:eastAsia="Calibri" w:hAnsi="Calibri" w:cs="Times New Roman"/>
          <w:lang w:val="en-US"/>
        </w:rPr>
        <w:t xml:space="preserve">- In 2019, employment in sectors such as Manufacturing, Logistics, Information and Communication Technologies, Energy and Mining accounted for 17% of the total. In these sectors, the rate of employment growth in 2013-2019 is higher than for the </w:t>
      </w:r>
      <w:proofErr w:type="gramStart"/>
      <w:r w:rsidRPr="00E621F3">
        <w:rPr>
          <w:rFonts w:ascii="Calibri" w:eastAsia="Calibri" w:hAnsi="Calibri" w:cs="Times New Roman"/>
          <w:lang w:val="en-US"/>
        </w:rPr>
        <w:t>economy as a whole</w:t>
      </w:r>
      <w:proofErr w:type="gramEnd"/>
      <w:r w:rsidRPr="00E621F3">
        <w:rPr>
          <w:rFonts w:ascii="Calibri" w:eastAsia="Calibri" w:hAnsi="Calibri" w:cs="Times New Roman"/>
          <w:lang w:val="en-US"/>
        </w:rPr>
        <w:t>.</w:t>
      </w:r>
    </w:p>
    <w:p w14:paraId="2EBE8DF6" w14:textId="77777777" w:rsidR="00E621F3" w:rsidRPr="00E621F3" w:rsidRDefault="00E621F3" w:rsidP="00E621F3">
      <w:pPr>
        <w:spacing w:after="0" w:line="240" w:lineRule="auto"/>
        <w:rPr>
          <w:rFonts w:ascii="Calibri" w:eastAsia="Calibri" w:hAnsi="Calibri" w:cs="Times New Roman"/>
          <w:lang w:val="en-US"/>
        </w:rPr>
      </w:pPr>
      <w:r w:rsidRPr="00E621F3">
        <w:rPr>
          <w:rFonts w:ascii="Calibri" w:eastAsia="Calibri" w:hAnsi="Calibri" w:cs="Times New Roman"/>
          <w:lang w:val="en-US"/>
        </w:rPr>
        <w:t xml:space="preserve">- Occupations in which workers come from education through VET are a particularly important pillar of employment in productive sectors (68%). As the contribution of productive sectors to total employment grows, the need to link VET to them is intensifying </w:t>
      </w:r>
      <w:proofErr w:type="gramStart"/>
      <w:r w:rsidRPr="00E621F3">
        <w:rPr>
          <w:rFonts w:ascii="Calibri" w:eastAsia="Calibri" w:hAnsi="Calibri" w:cs="Times New Roman"/>
          <w:lang w:val="en-US"/>
        </w:rPr>
        <w:t>in order to</w:t>
      </w:r>
      <w:proofErr w:type="gramEnd"/>
      <w:r w:rsidRPr="00E621F3">
        <w:rPr>
          <w:rFonts w:ascii="Calibri" w:eastAsia="Calibri" w:hAnsi="Calibri" w:cs="Times New Roman"/>
          <w:lang w:val="en-US"/>
        </w:rPr>
        <w:t xml:space="preserve"> offer </w:t>
      </w:r>
      <w:proofErr w:type="spellStart"/>
      <w:r w:rsidRPr="00E621F3">
        <w:rPr>
          <w:rFonts w:ascii="Calibri" w:eastAsia="Calibri" w:hAnsi="Calibri" w:cs="Times New Roman"/>
          <w:lang w:val="en-US"/>
        </w:rPr>
        <w:t>programmes</w:t>
      </w:r>
      <w:proofErr w:type="spellEnd"/>
      <w:r w:rsidRPr="00E621F3">
        <w:rPr>
          <w:rFonts w:ascii="Calibri" w:eastAsia="Calibri" w:hAnsi="Calibri" w:cs="Times New Roman"/>
          <w:lang w:val="en-US"/>
        </w:rPr>
        <w:t xml:space="preserve"> that meet the needs of enterprises, and thus help the career prospects of participants in VET.</w:t>
      </w:r>
    </w:p>
    <w:p w14:paraId="5F58D3CF" w14:textId="77777777" w:rsidR="00E621F3" w:rsidRPr="00E621F3" w:rsidRDefault="00E621F3" w:rsidP="00E621F3">
      <w:pPr>
        <w:spacing w:after="0" w:line="240" w:lineRule="auto"/>
        <w:rPr>
          <w:rFonts w:ascii="Calibri" w:eastAsia="Calibri" w:hAnsi="Calibri" w:cs="Times New Roman"/>
          <w:lang w:val="en-US"/>
        </w:rPr>
      </w:pPr>
      <w:r w:rsidRPr="00E621F3">
        <w:rPr>
          <w:rFonts w:ascii="Calibri" w:eastAsia="Calibri" w:hAnsi="Calibri" w:cs="Times New Roman"/>
          <w:lang w:val="en-US"/>
        </w:rPr>
        <w:t xml:space="preserve">- The role of VET is crucial as it must equip participants with the appropriate knowledge and skills, facilitate their integration into the </w:t>
      </w:r>
      <w:proofErr w:type="spellStart"/>
      <w:r w:rsidRPr="00E621F3">
        <w:rPr>
          <w:rFonts w:ascii="Calibri" w:eastAsia="Calibri" w:hAnsi="Calibri" w:cs="Times New Roman"/>
          <w:lang w:val="en-US"/>
        </w:rPr>
        <w:t>labour</w:t>
      </w:r>
      <w:proofErr w:type="spellEnd"/>
      <w:r w:rsidRPr="00E621F3">
        <w:rPr>
          <w:rFonts w:ascii="Calibri" w:eastAsia="Calibri" w:hAnsi="Calibri" w:cs="Times New Roman"/>
          <w:lang w:val="en-US"/>
        </w:rPr>
        <w:t xml:space="preserve"> market and operate in line with the productive needs of enterprises.</w:t>
      </w:r>
    </w:p>
    <w:p w14:paraId="6DC283F0" w14:textId="77777777" w:rsidR="00E621F3" w:rsidRPr="00E621F3" w:rsidRDefault="00E621F3" w:rsidP="00E621F3">
      <w:pPr>
        <w:spacing w:after="0" w:line="240" w:lineRule="auto"/>
        <w:rPr>
          <w:rFonts w:ascii="Calibri" w:eastAsia="Calibri" w:hAnsi="Calibri" w:cs="Times New Roman"/>
          <w:lang w:val="en-US"/>
        </w:rPr>
      </w:pPr>
      <w:r w:rsidRPr="00E621F3">
        <w:rPr>
          <w:rFonts w:ascii="Calibri" w:eastAsia="Calibri" w:hAnsi="Calibri" w:cs="Times New Roman"/>
          <w:lang w:val="en-US"/>
        </w:rPr>
        <w:t xml:space="preserve">- The adaptation of VET to technological and economic conditions will enable the Greek productive ecosystem to meet the needs for knowledge and skills and to boost employment with appropriately trained human resources in dynamic, emerging productive </w:t>
      </w:r>
      <w:proofErr w:type="gramStart"/>
      <w:r w:rsidRPr="00E621F3">
        <w:rPr>
          <w:rFonts w:ascii="Calibri" w:eastAsia="Calibri" w:hAnsi="Calibri" w:cs="Times New Roman"/>
          <w:lang w:val="en-US"/>
        </w:rPr>
        <w:t>activities</w:t>
      </w:r>
      <w:proofErr w:type="gramEnd"/>
      <w:r w:rsidRPr="00E621F3">
        <w:rPr>
          <w:rFonts w:ascii="Calibri" w:eastAsia="Calibri" w:hAnsi="Calibri" w:cs="Times New Roman"/>
          <w:lang w:val="en-US"/>
        </w:rPr>
        <w:t xml:space="preserve"> and well-paid jobs.</w:t>
      </w:r>
    </w:p>
    <w:p w14:paraId="5A4C82ED" w14:textId="77777777" w:rsidR="00E621F3" w:rsidRPr="00E621F3" w:rsidRDefault="00E621F3" w:rsidP="00E621F3">
      <w:pPr>
        <w:spacing w:after="0" w:line="240" w:lineRule="auto"/>
        <w:rPr>
          <w:rFonts w:ascii="Calibri" w:eastAsia="Calibri" w:hAnsi="Calibri" w:cs="Times New Roman"/>
          <w:lang w:val="en-US"/>
        </w:rPr>
      </w:pPr>
      <w:r w:rsidRPr="00E621F3">
        <w:rPr>
          <w:rFonts w:ascii="Calibri" w:eastAsia="Calibri" w:hAnsi="Calibri" w:cs="Times New Roman"/>
          <w:lang w:val="en-US"/>
        </w:rPr>
        <w:t>- At the same time, the effort to upgrade VET needs to be combined with initiatives in other, related fields, such as, for example, the Regulated Technical Occupations where productive enterprises face persistent and serious shortages of suitably qualified human resources.</w:t>
      </w:r>
    </w:p>
    <w:p w14:paraId="444797F0" w14:textId="77777777" w:rsidR="00E621F3" w:rsidRPr="00E621F3" w:rsidRDefault="00E621F3" w:rsidP="00E621F3">
      <w:pPr>
        <w:spacing w:after="0" w:line="240" w:lineRule="auto"/>
        <w:rPr>
          <w:rFonts w:ascii="Calibri" w:eastAsia="Calibri" w:hAnsi="Calibri" w:cs="Times New Roman"/>
          <w:lang w:val="en-US"/>
        </w:rPr>
      </w:pPr>
      <w:r w:rsidRPr="00E621F3">
        <w:rPr>
          <w:rFonts w:ascii="Calibri" w:eastAsia="Calibri" w:hAnsi="Calibri" w:cs="Times New Roman"/>
          <w:lang w:val="en-US"/>
        </w:rPr>
        <w:t>In Greece, cooperation between schools and enterprises in the field of vocational guidance has not been systematically developed, although vocational guidance in schools is the essential starting point of Lifelong Learning:</w:t>
      </w:r>
    </w:p>
    <w:p w14:paraId="099CA3DD" w14:textId="77777777" w:rsidR="00E621F3" w:rsidRPr="00E621F3" w:rsidRDefault="00E621F3" w:rsidP="00E621F3">
      <w:pPr>
        <w:spacing w:after="0" w:line="240" w:lineRule="auto"/>
        <w:rPr>
          <w:rFonts w:ascii="Calibri" w:eastAsia="Calibri" w:hAnsi="Calibri" w:cs="Times New Roman"/>
          <w:lang w:val="en-US"/>
        </w:rPr>
      </w:pPr>
      <w:r w:rsidRPr="00E621F3">
        <w:rPr>
          <w:rFonts w:ascii="Calibri" w:eastAsia="Calibri" w:hAnsi="Calibri" w:cs="Times New Roman"/>
          <w:lang w:val="en-US"/>
        </w:rPr>
        <w:t>- The creation of conditions for the cultivation of a culture of cooperation between the educational and business community.</w:t>
      </w:r>
    </w:p>
    <w:p w14:paraId="5947084F" w14:textId="77777777" w:rsidR="00E621F3" w:rsidRPr="00E621F3" w:rsidRDefault="00E621F3" w:rsidP="00E621F3">
      <w:pPr>
        <w:spacing w:after="0" w:line="240" w:lineRule="auto"/>
        <w:rPr>
          <w:rFonts w:ascii="Calibri" w:eastAsia="Calibri" w:hAnsi="Calibri" w:cs="Times New Roman"/>
          <w:lang w:val="en-US"/>
        </w:rPr>
      </w:pPr>
      <w:r w:rsidRPr="00E621F3">
        <w:rPr>
          <w:rFonts w:ascii="Calibri" w:eastAsia="Calibri" w:hAnsi="Calibri" w:cs="Times New Roman"/>
          <w:lang w:val="en-US"/>
        </w:rPr>
        <w:t>- The undertaking of joint initiatives to strengthen school-business partnerships across the whole spectrum of education.</w:t>
      </w:r>
    </w:p>
    <w:p w14:paraId="1516B34A" w14:textId="77777777" w:rsidR="00E621F3" w:rsidRPr="00E621F3" w:rsidRDefault="00E621F3" w:rsidP="00E621F3">
      <w:pPr>
        <w:spacing w:after="0" w:line="240" w:lineRule="auto"/>
        <w:rPr>
          <w:rFonts w:ascii="Calibri" w:eastAsia="Calibri" w:hAnsi="Calibri" w:cs="Times New Roman"/>
          <w:lang w:val="en-US"/>
        </w:rPr>
      </w:pPr>
      <w:r w:rsidRPr="00E621F3">
        <w:rPr>
          <w:rFonts w:ascii="Calibri" w:eastAsia="Calibri" w:hAnsi="Calibri" w:cs="Times New Roman"/>
          <w:lang w:val="en-US"/>
        </w:rPr>
        <w:t>- The use of new technologies to give schools and students throughout the country direct access to opportunities for experiential contact with the world of work.</w:t>
      </w:r>
    </w:p>
    <w:p w14:paraId="22E8E9A3" w14:textId="77777777" w:rsidR="00E621F3" w:rsidRPr="00E621F3" w:rsidRDefault="00E621F3" w:rsidP="00E621F3">
      <w:pPr>
        <w:spacing w:after="0" w:line="240" w:lineRule="auto"/>
        <w:rPr>
          <w:rFonts w:ascii="Calibri" w:eastAsia="Calibri" w:hAnsi="Calibri" w:cs="Times New Roman"/>
          <w:lang w:val="en-US"/>
        </w:rPr>
      </w:pPr>
      <w:r w:rsidRPr="00E621F3">
        <w:rPr>
          <w:rFonts w:ascii="Calibri" w:eastAsia="Calibri" w:hAnsi="Calibri" w:cs="Times New Roman"/>
          <w:lang w:val="en-US"/>
        </w:rPr>
        <w:t xml:space="preserve">- The exploitation and promotion of good practices in </w:t>
      </w:r>
      <w:proofErr w:type="spellStart"/>
      <w:r w:rsidRPr="00E621F3">
        <w:rPr>
          <w:rFonts w:ascii="Calibri" w:eastAsia="Calibri" w:hAnsi="Calibri" w:cs="Times New Roman"/>
          <w:lang w:val="en-US"/>
        </w:rPr>
        <w:t>mobilising</w:t>
      </w:r>
      <w:proofErr w:type="spellEnd"/>
      <w:r w:rsidRPr="00E621F3">
        <w:rPr>
          <w:rFonts w:ascii="Calibri" w:eastAsia="Calibri" w:hAnsi="Calibri" w:cs="Times New Roman"/>
          <w:lang w:val="en-US"/>
        </w:rPr>
        <w:t xml:space="preserve"> the business community in the field of School Vocational Guidance.</w:t>
      </w:r>
    </w:p>
    <w:p w14:paraId="5C57DE31" w14:textId="77777777" w:rsidR="00E621F3" w:rsidRPr="00E621F3" w:rsidRDefault="00E621F3" w:rsidP="00E621F3">
      <w:pPr>
        <w:spacing w:after="0" w:line="240" w:lineRule="auto"/>
        <w:rPr>
          <w:rFonts w:ascii="Calibri" w:eastAsia="Calibri" w:hAnsi="Calibri" w:cs="Times New Roman"/>
          <w:lang w:val="en-US"/>
        </w:rPr>
      </w:pPr>
      <w:r w:rsidRPr="00E621F3">
        <w:rPr>
          <w:rFonts w:ascii="Calibri" w:eastAsia="Calibri" w:hAnsi="Calibri" w:cs="Times New Roman"/>
          <w:lang w:val="en-US"/>
        </w:rPr>
        <w:t>- The systematic monitoring and evaluation of cooperation between schools and businesses in the field of vocational guidance.</w:t>
      </w:r>
    </w:p>
    <w:p w14:paraId="027BC9AD" w14:textId="31F3DEAF" w:rsidR="00013996" w:rsidRPr="00E621F3" w:rsidRDefault="00E621F3" w:rsidP="00E621F3">
      <w:pPr>
        <w:spacing w:after="0" w:line="240" w:lineRule="auto"/>
        <w:rPr>
          <w:rFonts w:ascii="Calibri" w:eastAsia="Calibri" w:hAnsi="Calibri" w:cs="Times New Roman"/>
          <w:lang w:val="en-US"/>
        </w:rPr>
      </w:pPr>
      <w:r w:rsidRPr="00E621F3">
        <w:rPr>
          <w:rFonts w:ascii="Calibri" w:eastAsia="Calibri" w:hAnsi="Calibri" w:cs="Times New Roman"/>
          <w:lang w:val="en-US"/>
        </w:rPr>
        <w:t>- Encouraging enterprises to strengthen their contribution in the field of school vocational guidance, especially by offering their staff the role of volunteer mentors.</w:t>
      </w:r>
    </w:p>
    <w:p w14:paraId="01299653" w14:textId="77777777" w:rsidR="00013996" w:rsidRDefault="00013996" w:rsidP="006A4EC4">
      <w:pPr>
        <w:spacing w:after="0" w:line="240" w:lineRule="auto"/>
        <w:rPr>
          <w:rFonts w:ascii="Calibri" w:eastAsia="Calibri" w:hAnsi="Calibri" w:cs="Times New Roman"/>
        </w:rPr>
      </w:pPr>
    </w:p>
    <w:p w14:paraId="265D0007" w14:textId="77777777" w:rsidR="00AC230D" w:rsidRDefault="00AC230D">
      <w:pPr>
        <w:rPr>
          <w:rFonts w:ascii="Calibri" w:eastAsia="Calibri" w:hAnsi="Calibri" w:cs="Times New Roman"/>
        </w:rPr>
      </w:pPr>
    </w:p>
    <w:p w14:paraId="46DE1472" w14:textId="77777777" w:rsidR="00AC230D" w:rsidRDefault="00AC230D">
      <w:pPr>
        <w:rPr>
          <w:rFonts w:ascii="Calibri" w:eastAsia="Calibri" w:hAnsi="Calibri" w:cs="Times New Roman"/>
        </w:rPr>
      </w:pPr>
    </w:p>
    <w:p w14:paraId="46C17A08" w14:textId="15C51770" w:rsidR="006A4EC4" w:rsidRDefault="006A4EC4" w:rsidP="00AC230D">
      <w:pPr>
        <w:rPr>
          <w:rFonts w:ascii="Calibri" w:eastAsia="Calibri" w:hAnsi="Calibri" w:cs="Times New Roman"/>
        </w:rPr>
      </w:pPr>
      <w:r>
        <w:rPr>
          <w:rFonts w:ascii="Calibri" w:eastAsia="Calibri" w:hAnsi="Calibri" w:cs="Times New Roman"/>
        </w:rPr>
        <w:br w:type="page"/>
      </w:r>
    </w:p>
    <w:p w14:paraId="3A882593" w14:textId="77777777" w:rsidR="006A4EC4" w:rsidRPr="006A4EC4" w:rsidRDefault="006A4EC4" w:rsidP="006A4EC4">
      <w:pPr>
        <w:keepNext/>
        <w:keepLines/>
        <w:spacing w:before="240" w:after="0"/>
        <w:outlineLvl w:val="0"/>
        <w:rPr>
          <w:rFonts w:ascii="Calibri" w:eastAsia="Times New Roman" w:hAnsi="Calibri" w:cs="Calibri"/>
          <w:b/>
          <w:color w:val="538135"/>
          <w:sz w:val="26"/>
          <w:szCs w:val="26"/>
        </w:rPr>
      </w:pPr>
      <w:bookmarkStart w:id="3" w:name="_Toc118913360"/>
      <w:r w:rsidRPr="006A4EC4">
        <w:rPr>
          <w:rFonts w:ascii="Calibri" w:eastAsia="Times New Roman" w:hAnsi="Calibri" w:cs="Calibri"/>
          <w:b/>
          <w:color w:val="538135"/>
          <w:sz w:val="26"/>
          <w:szCs w:val="26"/>
        </w:rPr>
        <w:lastRenderedPageBreak/>
        <w:t>Conclusions</w:t>
      </w:r>
      <w:bookmarkEnd w:id="3"/>
    </w:p>
    <w:p w14:paraId="141652C5" w14:textId="77777777" w:rsidR="006A4EC4" w:rsidRPr="006A4EC4" w:rsidRDefault="006A4EC4" w:rsidP="006A4EC4">
      <w:pPr>
        <w:spacing w:after="0" w:line="240" w:lineRule="auto"/>
        <w:rPr>
          <w:rFonts w:ascii="Calibri" w:eastAsia="Calibri" w:hAnsi="Calibri" w:cs="Times New Roman"/>
        </w:rPr>
      </w:pPr>
    </w:p>
    <w:p w14:paraId="3772054A" w14:textId="77777777" w:rsidR="006A4EC4" w:rsidRPr="006A4EC4" w:rsidRDefault="006A4EC4" w:rsidP="006A4EC4">
      <w:pPr>
        <w:spacing w:after="0" w:line="240" w:lineRule="auto"/>
        <w:rPr>
          <w:rFonts w:ascii="Calibri" w:eastAsia="Calibri" w:hAnsi="Calibri" w:cs="Times New Roman"/>
        </w:rPr>
      </w:pPr>
      <w:r w:rsidRPr="006A4EC4">
        <w:rPr>
          <w:rFonts w:ascii="Calibri" w:eastAsia="Calibri" w:hAnsi="Calibri" w:cs="Times New Roman"/>
        </w:rPr>
        <w:t>Conclusion remarks on the trends and projections about the need of training for Sustainable business development in SMEs and Entrepreneurs</w:t>
      </w:r>
    </w:p>
    <w:p w14:paraId="2C41CACA" w14:textId="77777777" w:rsidR="006A4EC4" w:rsidRPr="006A4EC4" w:rsidRDefault="006A4EC4" w:rsidP="006A4EC4">
      <w:pPr>
        <w:spacing w:after="0" w:line="240" w:lineRule="auto"/>
        <w:rPr>
          <w:rFonts w:ascii="Calibri" w:eastAsia="Calibri" w:hAnsi="Calibri" w:cs="Times New Roman"/>
        </w:rPr>
      </w:pPr>
    </w:p>
    <w:p w14:paraId="730D783A" w14:textId="77777777" w:rsidR="006A4EC4" w:rsidRPr="006A4EC4" w:rsidRDefault="006A4EC4" w:rsidP="006A4EC4">
      <w:pPr>
        <w:spacing w:after="0" w:line="240" w:lineRule="auto"/>
        <w:rPr>
          <w:rFonts w:ascii="Calibri" w:eastAsia="Calibri" w:hAnsi="Calibri" w:cs="Times New Roman"/>
        </w:rPr>
      </w:pPr>
    </w:p>
    <w:p w14:paraId="66CA48E5" w14:textId="4520DE6E" w:rsidR="006A4EC4" w:rsidRPr="006A4EC4" w:rsidRDefault="006A4EC4" w:rsidP="006A4EC4">
      <w:pPr>
        <w:rPr>
          <w:rFonts w:ascii="Calibri" w:eastAsia="Times New Roman" w:hAnsi="Calibri" w:cs="Calibri"/>
          <w:b/>
          <w:color w:val="0070C0"/>
          <w:sz w:val="26"/>
          <w:szCs w:val="26"/>
        </w:rPr>
      </w:pPr>
      <w:r w:rsidRPr="006A4EC4">
        <w:rPr>
          <w:rFonts w:ascii="Calibri" w:eastAsia="Calibri" w:hAnsi="Calibri" w:cs="Times New Roman"/>
        </w:rPr>
        <w:br w:type="page"/>
      </w:r>
    </w:p>
    <w:p w14:paraId="795B74E5" w14:textId="77777777" w:rsidR="006A4EC4" w:rsidRPr="006A4EC4" w:rsidRDefault="006A4EC4" w:rsidP="006A4EC4">
      <w:pPr>
        <w:keepNext/>
        <w:keepLines/>
        <w:spacing w:before="240" w:after="0"/>
        <w:outlineLvl w:val="0"/>
        <w:rPr>
          <w:rFonts w:ascii="Calibri" w:eastAsia="Times New Roman" w:hAnsi="Calibri" w:cs="Calibri"/>
          <w:b/>
          <w:color w:val="385623" w:themeColor="accent6" w:themeShade="80"/>
          <w:sz w:val="26"/>
          <w:szCs w:val="26"/>
        </w:rPr>
      </w:pPr>
      <w:bookmarkStart w:id="4" w:name="_Toc118913361"/>
      <w:r w:rsidRPr="006A4EC4">
        <w:rPr>
          <w:rFonts w:ascii="Calibri" w:eastAsia="Times New Roman" w:hAnsi="Calibri" w:cs="Calibri"/>
          <w:b/>
          <w:color w:val="385623" w:themeColor="accent6" w:themeShade="80"/>
          <w:sz w:val="26"/>
          <w:szCs w:val="26"/>
        </w:rPr>
        <w:lastRenderedPageBreak/>
        <w:t>Bibliography</w:t>
      </w:r>
      <w:bookmarkEnd w:id="4"/>
    </w:p>
    <w:p w14:paraId="44A0711F" w14:textId="77777777" w:rsidR="006A4EC4" w:rsidRPr="006A4EC4" w:rsidRDefault="006A4EC4" w:rsidP="006A4EC4">
      <w:pPr>
        <w:spacing w:after="0" w:line="240" w:lineRule="auto"/>
        <w:rPr>
          <w:rFonts w:ascii="Calibri" w:eastAsia="Calibri" w:hAnsi="Calibri" w:cs="Times New Roman"/>
        </w:rPr>
      </w:pPr>
    </w:p>
    <w:p w14:paraId="0AC49ED3" w14:textId="77777777" w:rsidR="00332B86" w:rsidRDefault="00332B86" w:rsidP="00332B86">
      <w:pPr>
        <w:spacing w:after="0" w:line="240" w:lineRule="auto"/>
        <w:rPr>
          <w:rFonts w:ascii="Calibri" w:eastAsia="Calibri" w:hAnsi="Calibri" w:cs="Times New Roman"/>
        </w:rPr>
      </w:pPr>
      <w:r w:rsidRPr="00332B86">
        <w:rPr>
          <w:rFonts w:ascii="Calibri" w:eastAsia="Calibri" w:hAnsi="Calibri" w:cs="Times New Roman"/>
        </w:rPr>
        <w:t xml:space="preserve">The 2030 Agenda for Sustainable DEvelopment </w:t>
      </w:r>
    </w:p>
    <w:p w14:paraId="2C812A59" w14:textId="794C9A33" w:rsidR="00332B86" w:rsidRPr="00332B86" w:rsidRDefault="00332B86" w:rsidP="00332B86">
      <w:pPr>
        <w:spacing w:after="0" w:line="240" w:lineRule="auto"/>
        <w:rPr>
          <w:rFonts w:ascii="Calibri" w:eastAsia="Calibri" w:hAnsi="Calibri" w:cs="Times New Roman"/>
        </w:rPr>
      </w:pPr>
      <w:r w:rsidRPr="00332B86">
        <w:rPr>
          <w:rFonts w:ascii="Calibri" w:eastAsia="Calibri" w:hAnsi="Calibri" w:cs="Times New Roman"/>
        </w:rPr>
        <w:t>https://sustainabledevelopment.un.org/</w:t>
      </w:r>
    </w:p>
    <w:p w14:paraId="72425BB1" w14:textId="77777777" w:rsidR="00332B86" w:rsidRPr="00332B86" w:rsidRDefault="00332B86" w:rsidP="00332B86">
      <w:pPr>
        <w:spacing w:after="0" w:line="240" w:lineRule="auto"/>
        <w:rPr>
          <w:rFonts w:ascii="Calibri" w:eastAsia="Calibri" w:hAnsi="Calibri" w:cs="Times New Roman"/>
        </w:rPr>
      </w:pPr>
    </w:p>
    <w:p w14:paraId="76C47A73" w14:textId="77777777" w:rsidR="00332B86" w:rsidRPr="00332B86" w:rsidRDefault="00332B86" w:rsidP="00332B86">
      <w:pPr>
        <w:spacing w:after="0" w:line="240" w:lineRule="auto"/>
        <w:rPr>
          <w:rFonts w:ascii="Calibri" w:eastAsia="Calibri" w:hAnsi="Calibri" w:cs="Times New Roman"/>
        </w:rPr>
      </w:pPr>
      <w:r w:rsidRPr="00332B86">
        <w:rPr>
          <w:rFonts w:ascii="Calibri" w:eastAsia="Calibri" w:hAnsi="Calibri" w:cs="Times New Roman"/>
        </w:rPr>
        <w:t>Στόχοι Βιώσιμης Ανάπτυξης</w:t>
      </w:r>
    </w:p>
    <w:p w14:paraId="6A9A965F" w14:textId="77777777" w:rsidR="00332B86" w:rsidRPr="00332B86" w:rsidRDefault="00332B86" w:rsidP="00332B86">
      <w:pPr>
        <w:spacing w:after="0" w:line="240" w:lineRule="auto"/>
        <w:rPr>
          <w:rFonts w:ascii="Calibri" w:eastAsia="Calibri" w:hAnsi="Calibri" w:cs="Times New Roman"/>
        </w:rPr>
      </w:pPr>
      <w:r w:rsidRPr="00332B86">
        <w:rPr>
          <w:rFonts w:ascii="Calibri" w:eastAsia="Calibri" w:hAnsi="Calibri" w:cs="Times New Roman"/>
        </w:rPr>
        <w:t>https://ec.europa.eu/commission/presscorner/detail/el/IP_18_82</w:t>
      </w:r>
    </w:p>
    <w:p w14:paraId="47879972" w14:textId="77777777" w:rsidR="00332B86" w:rsidRPr="00332B86" w:rsidRDefault="00332B86" w:rsidP="00332B86">
      <w:pPr>
        <w:spacing w:after="0" w:line="240" w:lineRule="auto"/>
        <w:rPr>
          <w:rFonts w:ascii="Calibri" w:eastAsia="Calibri" w:hAnsi="Calibri" w:cs="Times New Roman"/>
        </w:rPr>
      </w:pPr>
    </w:p>
    <w:p w14:paraId="38168993" w14:textId="77777777" w:rsidR="00332B86" w:rsidRPr="00332B86" w:rsidRDefault="00332B86" w:rsidP="00332B86">
      <w:pPr>
        <w:spacing w:after="0" w:line="240" w:lineRule="auto"/>
        <w:rPr>
          <w:rFonts w:ascii="Calibri" w:eastAsia="Calibri" w:hAnsi="Calibri" w:cs="Times New Roman"/>
        </w:rPr>
      </w:pPr>
      <w:r w:rsidRPr="00332B86">
        <w:rPr>
          <w:rFonts w:ascii="Calibri" w:eastAsia="Calibri" w:hAnsi="Calibri" w:cs="Times New Roman"/>
        </w:rPr>
        <w:t>Επαγγέλματα με δυνατότητα τηλεργασίας (teleworkability)</w:t>
      </w:r>
    </w:p>
    <w:p w14:paraId="53A89A1A" w14:textId="77777777" w:rsidR="00332B86" w:rsidRPr="00332B86" w:rsidRDefault="00332B86" w:rsidP="00332B86">
      <w:pPr>
        <w:spacing w:after="0" w:line="240" w:lineRule="auto"/>
        <w:rPr>
          <w:rFonts w:ascii="Calibri" w:eastAsia="Calibri" w:hAnsi="Calibri" w:cs="Times New Roman"/>
        </w:rPr>
      </w:pPr>
      <w:r w:rsidRPr="00332B86">
        <w:rPr>
          <w:rFonts w:ascii="Calibri" w:eastAsia="Calibri" w:hAnsi="Calibri" w:cs="Times New Roman"/>
        </w:rPr>
        <w:t>https://www.sev.org.gr/ekdoseis/epangelmata-me-dynatotita-tilergasias-teleworkability-technologia-kai-organosi-anavathmizoun-tin-ergasia/</w:t>
      </w:r>
    </w:p>
    <w:p w14:paraId="062CBF26" w14:textId="77777777" w:rsidR="00332B86" w:rsidRPr="00332B86" w:rsidRDefault="00332B86" w:rsidP="00332B86">
      <w:pPr>
        <w:spacing w:after="0" w:line="240" w:lineRule="auto"/>
        <w:rPr>
          <w:rFonts w:ascii="Calibri" w:eastAsia="Calibri" w:hAnsi="Calibri" w:cs="Times New Roman"/>
        </w:rPr>
      </w:pPr>
    </w:p>
    <w:p w14:paraId="7DADD743" w14:textId="77777777" w:rsidR="00332B86" w:rsidRPr="00332B86" w:rsidRDefault="00332B86" w:rsidP="00332B86">
      <w:pPr>
        <w:spacing w:after="0" w:line="240" w:lineRule="auto"/>
        <w:rPr>
          <w:rFonts w:ascii="Calibri" w:eastAsia="Calibri" w:hAnsi="Calibri" w:cs="Times New Roman"/>
        </w:rPr>
      </w:pPr>
      <w:r w:rsidRPr="00332B86">
        <w:rPr>
          <w:rFonts w:ascii="Calibri" w:eastAsia="Calibri" w:hAnsi="Calibri" w:cs="Times New Roman"/>
        </w:rPr>
        <w:t>https://www.sev.org.gr/ekdoseis/dynamika-epangelmata-ekpaidefsi-kai-katartisi-gia-ton-paragogiko-metaschimatismo/</w:t>
      </w:r>
    </w:p>
    <w:p w14:paraId="112829F7" w14:textId="77777777" w:rsidR="00332B86" w:rsidRPr="00332B86" w:rsidRDefault="00332B86" w:rsidP="00332B86">
      <w:pPr>
        <w:spacing w:after="0" w:line="240" w:lineRule="auto"/>
        <w:rPr>
          <w:rFonts w:ascii="Calibri" w:eastAsia="Calibri" w:hAnsi="Calibri" w:cs="Times New Roman"/>
        </w:rPr>
      </w:pPr>
    </w:p>
    <w:p w14:paraId="4CDEAFB0" w14:textId="77777777" w:rsidR="00332B86" w:rsidRPr="00332B86" w:rsidRDefault="00332B86" w:rsidP="00332B86">
      <w:pPr>
        <w:spacing w:after="0" w:line="240" w:lineRule="auto"/>
        <w:rPr>
          <w:rFonts w:ascii="Calibri" w:eastAsia="Calibri" w:hAnsi="Calibri" w:cs="Times New Roman"/>
        </w:rPr>
      </w:pPr>
      <w:r w:rsidRPr="00332B86">
        <w:rPr>
          <w:rFonts w:ascii="Calibri" w:eastAsia="Calibri" w:hAnsi="Calibri" w:cs="Times New Roman"/>
        </w:rPr>
        <w:t>Δυναμικά Επαγγέλματα: Εκπαίδευση και κατάρτιση για τον παραγωγικό μετασχηματισμό</w:t>
      </w:r>
    </w:p>
    <w:p w14:paraId="1606CD4E" w14:textId="77777777" w:rsidR="00332B86" w:rsidRPr="00332B86" w:rsidRDefault="00332B86" w:rsidP="00332B86">
      <w:pPr>
        <w:spacing w:after="0" w:line="240" w:lineRule="auto"/>
        <w:rPr>
          <w:rFonts w:ascii="Calibri" w:eastAsia="Calibri" w:hAnsi="Calibri" w:cs="Times New Roman"/>
        </w:rPr>
      </w:pPr>
      <w:r w:rsidRPr="00332B86">
        <w:rPr>
          <w:rFonts w:ascii="Calibri" w:eastAsia="Calibri" w:hAnsi="Calibri" w:cs="Times New Roman"/>
        </w:rPr>
        <w:t>https://www.sev.org.gr/ekdoseis/dynamika-epangelmata-ekpaidefsi-kai-katartisi-gia-ton-paragogiko-metaschimatismo/</w:t>
      </w:r>
    </w:p>
    <w:p w14:paraId="1DFEDF10" w14:textId="77777777" w:rsidR="00332B86" w:rsidRPr="00332B86" w:rsidRDefault="00332B86" w:rsidP="00332B86">
      <w:pPr>
        <w:spacing w:after="0" w:line="240" w:lineRule="auto"/>
        <w:rPr>
          <w:rFonts w:ascii="Calibri" w:eastAsia="Calibri" w:hAnsi="Calibri" w:cs="Times New Roman"/>
        </w:rPr>
      </w:pPr>
    </w:p>
    <w:p w14:paraId="55C0255B" w14:textId="77777777" w:rsidR="00332B86" w:rsidRPr="00332B86" w:rsidRDefault="00332B86" w:rsidP="00332B86">
      <w:pPr>
        <w:spacing w:after="0" w:line="240" w:lineRule="auto"/>
        <w:rPr>
          <w:rFonts w:ascii="Calibri" w:eastAsia="Calibri" w:hAnsi="Calibri" w:cs="Times New Roman"/>
        </w:rPr>
      </w:pPr>
    </w:p>
    <w:p w14:paraId="4765E4E8" w14:textId="77777777" w:rsidR="00332B86" w:rsidRPr="00332B86" w:rsidRDefault="00332B86" w:rsidP="00332B86">
      <w:pPr>
        <w:spacing w:after="0" w:line="240" w:lineRule="auto"/>
        <w:rPr>
          <w:rFonts w:ascii="Calibri" w:eastAsia="Calibri" w:hAnsi="Calibri" w:cs="Times New Roman"/>
        </w:rPr>
      </w:pPr>
      <w:r w:rsidRPr="00332B86">
        <w:rPr>
          <w:rFonts w:ascii="Calibri" w:eastAsia="Calibri" w:hAnsi="Calibri" w:cs="Times New Roman"/>
        </w:rPr>
        <w:t>Ο κρίσιμος ρόλος των επιχειρήσεων στον Σχολικό Επαγγελματικό Προσανατολισμό</w:t>
      </w:r>
    </w:p>
    <w:p w14:paraId="2B0B71BF" w14:textId="77777777" w:rsidR="00332B86" w:rsidRPr="00332B86" w:rsidRDefault="00332B86" w:rsidP="00332B86">
      <w:pPr>
        <w:spacing w:after="0" w:line="240" w:lineRule="auto"/>
        <w:rPr>
          <w:rFonts w:ascii="Calibri" w:eastAsia="Calibri" w:hAnsi="Calibri" w:cs="Times New Roman"/>
        </w:rPr>
      </w:pPr>
      <w:r w:rsidRPr="00332B86">
        <w:rPr>
          <w:rFonts w:ascii="Calibri" w:eastAsia="Calibri" w:hAnsi="Calibri" w:cs="Times New Roman"/>
        </w:rPr>
        <w:t>https://www.sev.org.gr/ekdoseis/o-krisimos-rolos-ton-epicheiriseon-ston-scholiko-epangelmatiko-prosanatolismo/</w:t>
      </w:r>
    </w:p>
    <w:p w14:paraId="71178194" w14:textId="77777777" w:rsidR="00332B86" w:rsidRPr="00332B86" w:rsidRDefault="00332B86" w:rsidP="00332B86">
      <w:pPr>
        <w:spacing w:after="0" w:line="240" w:lineRule="auto"/>
        <w:rPr>
          <w:rFonts w:ascii="Calibri" w:eastAsia="Calibri" w:hAnsi="Calibri" w:cs="Times New Roman"/>
        </w:rPr>
      </w:pPr>
    </w:p>
    <w:p w14:paraId="2DD2F8C3" w14:textId="77777777" w:rsidR="00332B86" w:rsidRPr="00332B86" w:rsidRDefault="00332B86" w:rsidP="00332B86">
      <w:pPr>
        <w:spacing w:after="0" w:line="240" w:lineRule="auto"/>
        <w:rPr>
          <w:rFonts w:ascii="Calibri" w:eastAsia="Calibri" w:hAnsi="Calibri" w:cs="Times New Roman"/>
        </w:rPr>
      </w:pPr>
      <w:r w:rsidRPr="00332B86">
        <w:rPr>
          <w:rFonts w:ascii="Calibri" w:eastAsia="Calibri" w:hAnsi="Calibri" w:cs="Times New Roman"/>
        </w:rPr>
        <w:t xml:space="preserve">Εθνικό Παρατηρητήριο για τις Μικρομεσαίες Επιχειρήσεις; </w:t>
      </w:r>
    </w:p>
    <w:p w14:paraId="119E1D32" w14:textId="77777777" w:rsidR="00332B86" w:rsidRPr="00332B86" w:rsidRDefault="00332B86" w:rsidP="00332B86">
      <w:pPr>
        <w:spacing w:after="0" w:line="240" w:lineRule="auto"/>
        <w:rPr>
          <w:rFonts w:ascii="Calibri" w:eastAsia="Calibri" w:hAnsi="Calibri" w:cs="Times New Roman"/>
        </w:rPr>
      </w:pPr>
      <w:r w:rsidRPr="00332B86">
        <w:rPr>
          <w:rFonts w:ascii="Calibri" w:eastAsia="Calibri" w:hAnsi="Calibri" w:cs="Times New Roman"/>
        </w:rPr>
        <w:t>https://www.ggb.gr/el/sme_observatory</w:t>
      </w:r>
    </w:p>
    <w:p w14:paraId="79D2BE29" w14:textId="77777777" w:rsidR="00332B86" w:rsidRPr="00332B86" w:rsidRDefault="00332B86" w:rsidP="00332B86">
      <w:pPr>
        <w:spacing w:after="0" w:line="240" w:lineRule="auto"/>
        <w:rPr>
          <w:rFonts w:ascii="Calibri" w:eastAsia="Calibri" w:hAnsi="Calibri" w:cs="Times New Roman"/>
        </w:rPr>
      </w:pPr>
    </w:p>
    <w:p w14:paraId="24D6112C" w14:textId="77777777" w:rsidR="00332B86" w:rsidRPr="00332B86" w:rsidRDefault="00332B86" w:rsidP="00332B86">
      <w:pPr>
        <w:spacing w:after="0" w:line="240" w:lineRule="auto"/>
        <w:rPr>
          <w:rFonts w:ascii="Calibri" w:eastAsia="Calibri" w:hAnsi="Calibri" w:cs="Times New Roman"/>
        </w:rPr>
      </w:pPr>
      <w:r w:rsidRPr="00332B86">
        <w:rPr>
          <w:rFonts w:ascii="Calibri" w:eastAsia="Calibri" w:hAnsi="Calibri" w:cs="Times New Roman"/>
        </w:rPr>
        <w:t>Η επαγγελματική εκπαίδευση και κατάρτιση στην Ελλάδα,</w:t>
      </w:r>
    </w:p>
    <w:p w14:paraId="4D056A66" w14:textId="435D9C93" w:rsidR="006A4EC4" w:rsidRPr="006A4EC4" w:rsidRDefault="00332B86" w:rsidP="00332B86">
      <w:pPr>
        <w:spacing w:after="0" w:line="240" w:lineRule="auto"/>
        <w:rPr>
          <w:rFonts w:ascii="Calibri" w:eastAsia="Calibri" w:hAnsi="Calibri" w:cs="Times New Roman"/>
        </w:rPr>
      </w:pPr>
      <w:r w:rsidRPr="00332B86">
        <w:rPr>
          <w:rFonts w:ascii="Calibri" w:eastAsia="Calibri" w:hAnsi="Calibri" w:cs="Times New Roman"/>
        </w:rPr>
        <w:t>https://www.real.gr/koinonia/arthro/nea_ereuna_h_epaggelmatiki_ekpaideusi_kai_katartisi_stin_ellada-864927/</w:t>
      </w:r>
    </w:p>
    <w:p w14:paraId="4BE2118B" w14:textId="2B147B06" w:rsidR="006A4EC4" w:rsidRPr="006A4EC4" w:rsidRDefault="006A4EC4" w:rsidP="006A4EC4"/>
    <w:sectPr w:rsidR="006A4EC4" w:rsidRPr="006A4EC4" w:rsidSect="006A4EC4">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2DED9" w14:textId="77777777" w:rsidR="00F43665" w:rsidRDefault="00F43665" w:rsidP="006A4EC4">
      <w:pPr>
        <w:spacing w:after="0" w:line="240" w:lineRule="auto"/>
      </w:pPr>
      <w:r>
        <w:separator/>
      </w:r>
    </w:p>
  </w:endnote>
  <w:endnote w:type="continuationSeparator" w:id="0">
    <w:p w14:paraId="7101C7A5" w14:textId="77777777" w:rsidR="00F43665" w:rsidRDefault="00F43665" w:rsidP="006A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917527"/>
      <w:docPartObj>
        <w:docPartGallery w:val="Page Numbers (Bottom of Page)"/>
        <w:docPartUnique/>
      </w:docPartObj>
    </w:sdtPr>
    <w:sdtEndPr>
      <w:rPr>
        <w:noProof/>
      </w:rPr>
    </w:sdtEndPr>
    <w:sdtContent>
      <w:p w14:paraId="158F0EC1" w14:textId="2233E2A9" w:rsidR="006A4EC4" w:rsidRDefault="006A4EC4">
        <w:pPr>
          <w:pStyle w:val="a4"/>
          <w:jc w:val="right"/>
        </w:pPr>
        <w:r>
          <w:fldChar w:fldCharType="begin"/>
        </w:r>
        <w:r>
          <w:instrText xml:space="preserve"> PAGE   \* MERGEFORMAT </w:instrText>
        </w:r>
        <w:r>
          <w:fldChar w:fldCharType="separate"/>
        </w:r>
        <w:r>
          <w:rPr>
            <w:noProof/>
          </w:rPr>
          <w:t>2</w:t>
        </w:r>
        <w:r>
          <w:rPr>
            <w:noProof/>
          </w:rPr>
          <w:fldChar w:fldCharType="end"/>
        </w:r>
      </w:p>
    </w:sdtContent>
  </w:sdt>
  <w:p w14:paraId="536DB8BC" w14:textId="39BA83A9" w:rsidR="006A4EC4" w:rsidRPr="006A4EC4" w:rsidRDefault="006A4EC4" w:rsidP="006A4EC4">
    <w:pPr>
      <w:pStyle w:val="a4"/>
    </w:pPr>
    <w:r>
      <w:rPr>
        <w:noProof/>
      </w:rPr>
      <w:drawing>
        <wp:anchor distT="0" distB="0" distL="114300" distR="114300" simplePos="0" relativeHeight="251658240" behindDoc="1" locked="0" layoutInCell="1" allowOverlap="1" wp14:anchorId="4359C3EF" wp14:editId="0EC42C04">
          <wp:simplePos x="0" y="0"/>
          <wp:positionH relativeFrom="column">
            <wp:posOffset>0</wp:posOffset>
          </wp:positionH>
          <wp:positionV relativeFrom="paragraph">
            <wp:posOffset>-192405</wp:posOffset>
          </wp:positionV>
          <wp:extent cx="1633142" cy="352975"/>
          <wp:effectExtent l="0" t="0" r="5715" b="9525"/>
          <wp:wrapNone/>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33142" cy="3529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ED6C4" w14:textId="77777777" w:rsidR="00F43665" w:rsidRDefault="00F43665" w:rsidP="006A4EC4">
      <w:pPr>
        <w:spacing w:after="0" w:line="240" w:lineRule="auto"/>
      </w:pPr>
      <w:r>
        <w:separator/>
      </w:r>
    </w:p>
  </w:footnote>
  <w:footnote w:type="continuationSeparator" w:id="0">
    <w:p w14:paraId="6994C0D2" w14:textId="77777777" w:rsidR="00F43665" w:rsidRDefault="00F43665" w:rsidP="006A4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B74F8" w14:textId="59DFDBAB" w:rsidR="006A4EC4" w:rsidRDefault="006A4EC4">
    <w:pPr>
      <w:pStyle w:val="a3"/>
    </w:pPr>
    <w:r>
      <w:t>Project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EC4"/>
    <w:rsid w:val="00013996"/>
    <w:rsid w:val="001E344E"/>
    <w:rsid w:val="00332B86"/>
    <w:rsid w:val="005F2178"/>
    <w:rsid w:val="006A4EC4"/>
    <w:rsid w:val="00825345"/>
    <w:rsid w:val="008E13F4"/>
    <w:rsid w:val="00A42BDB"/>
    <w:rsid w:val="00AB58E9"/>
    <w:rsid w:val="00AC230D"/>
    <w:rsid w:val="00C072F1"/>
    <w:rsid w:val="00E621F3"/>
    <w:rsid w:val="00F43665"/>
    <w:rsid w:val="00FC7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58643"/>
  <w15:chartTrackingRefBased/>
  <w15:docId w15:val="{2BAE5A5B-0AC7-46E1-840E-0944C3C1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EC4"/>
    <w:rPr>
      <w:lang w:val="it-IT"/>
    </w:rPr>
  </w:style>
  <w:style w:type="paragraph" w:styleId="1">
    <w:name w:val="heading 1"/>
    <w:basedOn w:val="a"/>
    <w:next w:val="a"/>
    <w:link w:val="1Char"/>
    <w:uiPriority w:val="9"/>
    <w:qFormat/>
    <w:rsid w:val="006A4E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4EC4"/>
    <w:pPr>
      <w:tabs>
        <w:tab w:val="center" w:pos="4680"/>
        <w:tab w:val="right" w:pos="9360"/>
      </w:tabs>
      <w:spacing w:after="0" w:line="240" w:lineRule="auto"/>
    </w:pPr>
    <w:rPr>
      <w:lang w:val="en-US"/>
    </w:rPr>
  </w:style>
  <w:style w:type="character" w:customStyle="1" w:styleId="Char">
    <w:name w:val="Κεφαλίδα Char"/>
    <w:basedOn w:val="a0"/>
    <w:link w:val="a3"/>
    <w:uiPriority w:val="99"/>
    <w:rsid w:val="006A4EC4"/>
  </w:style>
  <w:style w:type="paragraph" w:styleId="a4">
    <w:name w:val="footer"/>
    <w:basedOn w:val="a"/>
    <w:link w:val="Char0"/>
    <w:uiPriority w:val="99"/>
    <w:unhideWhenUsed/>
    <w:rsid w:val="006A4EC4"/>
    <w:pPr>
      <w:tabs>
        <w:tab w:val="center" w:pos="4680"/>
        <w:tab w:val="right" w:pos="9360"/>
      </w:tabs>
      <w:spacing w:after="0" w:line="240" w:lineRule="auto"/>
    </w:pPr>
    <w:rPr>
      <w:lang w:val="en-US"/>
    </w:rPr>
  </w:style>
  <w:style w:type="character" w:customStyle="1" w:styleId="Char0">
    <w:name w:val="Υποσέλιδο Char"/>
    <w:basedOn w:val="a0"/>
    <w:link w:val="a4"/>
    <w:uiPriority w:val="99"/>
    <w:rsid w:val="006A4EC4"/>
  </w:style>
  <w:style w:type="paragraph" w:customStyle="1" w:styleId="Default">
    <w:name w:val="Default"/>
    <w:rsid w:val="006A4EC4"/>
    <w:pPr>
      <w:autoSpaceDE w:val="0"/>
      <w:autoSpaceDN w:val="0"/>
      <w:adjustRightInd w:val="0"/>
      <w:spacing w:after="0" w:line="240" w:lineRule="auto"/>
    </w:pPr>
    <w:rPr>
      <w:rFonts w:ascii="Tahoma" w:hAnsi="Tahoma" w:cs="Tahoma"/>
      <w:color w:val="000000"/>
      <w:sz w:val="24"/>
      <w:szCs w:val="24"/>
    </w:rPr>
  </w:style>
  <w:style w:type="paragraph" w:styleId="a5">
    <w:name w:val="No Spacing"/>
    <w:uiPriority w:val="1"/>
    <w:qFormat/>
    <w:rsid w:val="006A4EC4"/>
    <w:pPr>
      <w:spacing w:after="0" w:line="240" w:lineRule="auto"/>
    </w:pPr>
    <w:rPr>
      <w:lang w:val="it-IT"/>
    </w:rPr>
  </w:style>
  <w:style w:type="character" w:customStyle="1" w:styleId="1Char">
    <w:name w:val="Επικεφαλίδα 1 Char"/>
    <w:basedOn w:val="a0"/>
    <w:link w:val="1"/>
    <w:uiPriority w:val="9"/>
    <w:rsid w:val="006A4EC4"/>
    <w:rPr>
      <w:rFonts w:asciiTheme="majorHAnsi" w:eastAsiaTheme="majorEastAsia" w:hAnsiTheme="majorHAnsi" w:cstheme="majorBidi"/>
      <w:color w:val="2F5496" w:themeColor="accent1" w:themeShade="BF"/>
      <w:sz w:val="32"/>
      <w:szCs w:val="32"/>
      <w:lang w:val="it-IT"/>
    </w:rPr>
  </w:style>
  <w:style w:type="paragraph" w:styleId="a6">
    <w:name w:val="TOC Heading"/>
    <w:basedOn w:val="1"/>
    <w:next w:val="a"/>
    <w:uiPriority w:val="39"/>
    <w:unhideWhenUsed/>
    <w:qFormat/>
    <w:rsid w:val="006A4EC4"/>
    <w:pPr>
      <w:outlineLvl w:val="9"/>
    </w:pPr>
    <w:rPr>
      <w:lang w:val="en-US"/>
    </w:rPr>
  </w:style>
  <w:style w:type="paragraph" w:styleId="10">
    <w:name w:val="toc 1"/>
    <w:basedOn w:val="a"/>
    <w:next w:val="a"/>
    <w:autoRedefine/>
    <w:uiPriority w:val="39"/>
    <w:unhideWhenUsed/>
    <w:rsid w:val="006A4EC4"/>
    <w:pPr>
      <w:spacing w:after="100"/>
    </w:pPr>
  </w:style>
  <w:style w:type="character" w:styleId="-">
    <w:name w:val="Hyperlink"/>
    <w:basedOn w:val="a0"/>
    <w:uiPriority w:val="99"/>
    <w:unhideWhenUsed/>
    <w:rsid w:val="006A4EC4"/>
    <w:rPr>
      <w:color w:val="0563C1" w:themeColor="hyperlink"/>
      <w:u w:val="single"/>
    </w:rPr>
  </w:style>
  <w:style w:type="character" w:styleId="a7">
    <w:name w:val="Unresolved Mention"/>
    <w:basedOn w:val="a0"/>
    <w:uiPriority w:val="99"/>
    <w:semiHidden/>
    <w:unhideWhenUsed/>
    <w:rsid w:val="006A4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12</Pages>
  <Words>3673</Words>
  <Characters>19838</Characters>
  <Application>Microsoft Office Word</Application>
  <DocSecurity>0</DocSecurity>
  <Lines>165</Lines>
  <Paragraphs>46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Demetra Panaretou</dc:creator>
  <cp:keywords/>
  <dc:description/>
  <cp:lastModifiedBy>George Diamandis</cp:lastModifiedBy>
  <cp:revision>7</cp:revision>
  <dcterms:created xsi:type="dcterms:W3CDTF">2023-01-03T17:42:00Z</dcterms:created>
  <dcterms:modified xsi:type="dcterms:W3CDTF">2023-01-03T18:21:00Z</dcterms:modified>
</cp:coreProperties>
</file>